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833-8k425_mimedx.htm"/>
      <w:bookmarkStart w:id="1" w:name="ksea03088338k425_mimedx"/>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MIMEDX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3_edei--EntityIncorporationStateCo"/>
            <w:bookmarkEnd w:id="5"/>
            <w:r>
              <w:rPr>
                <w:rFonts w:ascii="Times New Roman;Times;Serif" w:hAnsi="Times New Roman;Times;Serif"/>
                <w:b/>
                <w:sz w:val="20"/>
              </w:rPr>
              <w:t>Florida</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1015"/>
            <w:bookmarkEnd w:id="6"/>
            <w:r>
              <w:rPr>
                <w:rFonts w:ascii="Times New Roman;Times;Serif" w:hAnsi="Times New Roman;Times;Serif"/>
                <w:b/>
                <w:sz w:val="20"/>
              </w:rPr>
              <w:t>001-35887</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26-2792552</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1775 West Oak Commons Ct., NE, </w:t>
      </w:r>
      <w:bookmarkStart w:id="9" w:name="xdx_90D_edei--EntityAddressCityOrTown_c2"/>
      <w:bookmarkEnd w:id="9"/>
      <w:r>
        <w:rPr>
          <w:rFonts w:ascii="Times New Roman;Times;Serif" w:hAnsi="Times New Roman;Times;Serif"/>
          <w:b/>
          <w:i w:val="false"/>
          <w:caps w:val="false"/>
          <w:smallCaps w:val="false"/>
          <w:sz w:val="20"/>
        </w:rPr>
        <w:t xml:space="preserve">Marietta </w:t>
      </w:r>
      <w:bookmarkStart w:id="10" w:name="xdx_907_edei--EntityAddressStateOrProvin"/>
      <w:bookmarkEnd w:id="10"/>
      <w:r>
        <w:rPr>
          <w:rFonts w:ascii="Times New Roman;Times;Serif" w:hAnsi="Times New Roman;Times;Serif"/>
          <w:b/>
          <w:i w:val="false"/>
          <w:caps w:val="false"/>
          <w:smallCaps w:val="false"/>
          <w:sz w:val="20"/>
        </w:rPr>
        <w:t xml:space="preserve">GA </w:t>
      </w:r>
      <w:bookmarkStart w:id="11" w:name="xdx_901_edei--EntityAddressPostalZipCode"/>
      <w:bookmarkEnd w:id="11"/>
      <w:r>
        <w:rPr>
          <w:rFonts w:ascii="Times New Roman;Times;Serif" w:hAnsi="Times New Roman;Times;Serif"/>
          <w:b/>
          <w:i w:val="false"/>
          <w:caps w:val="false"/>
          <w:smallCaps w:val="false"/>
          <w:sz w:val="20"/>
        </w:rPr>
        <w:t>30062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F_edei--CityAreaCode_c20261015__20"/>
      <w:bookmarkEnd w:id="12"/>
      <w:r>
        <w:rPr>
          <w:rFonts w:ascii="Times New Roman;Times;Serif" w:hAnsi="Times New Roman;Times;Serif"/>
          <w:b/>
          <w:i w:val="false"/>
          <w:caps w:val="false"/>
          <w:smallCaps w:val="false"/>
          <w:sz w:val="20"/>
        </w:rPr>
        <w:t xml:space="preserve">770) </w:t>
      </w:r>
      <w:bookmarkStart w:id="13" w:name="xdx_90B_edei--LocalPhoneNumber_c20261015"/>
      <w:bookmarkEnd w:id="13"/>
      <w:r>
        <w:rPr>
          <w:rFonts w:ascii="Times New Roman;Times;Serif" w:hAnsi="Times New Roman;Times;Serif"/>
          <w:b/>
          <w:i w:val="false"/>
          <w:caps w:val="false"/>
          <w:smallCaps w:val="false"/>
          <w:sz w:val="20"/>
        </w:rPr>
        <w:t>651-9100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2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2_edei--SolicitingMaterial_c202610"/>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3680"/>
        <w:gridCol w:w="60"/>
        <w:gridCol w:w="1610"/>
        <w:gridCol w:w="60"/>
        <w:gridCol w:w="2675"/>
      </w:tblGrid>
      <w:tr>
        <w:trPr/>
        <w:tc>
          <w:tcPr>
            <w:tcW w:w="3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6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3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F_edei--Security12bTitle_c20261015"/>
            <w:bookmarkEnd w:id="18"/>
            <w:r>
              <w:rPr>
                <w:rFonts w:ascii="Times New Roman;Times;Serif" w:hAnsi="Times New Roman;Times;Serif"/>
                <w:b/>
                <w:sz w:val="20"/>
              </w:rPr>
              <w:t>Common Stock, $0.001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1_edei--TradingSymbol_c20261015__2"/>
            <w:bookmarkEnd w:id="19"/>
            <w:r>
              <w:rPr>
                <w:rFonts w:ascii="Times New Roman;Times;Serif" w:hAnsi="Times New Roman;Times;Serif"/>
                <w:b/>
                <w:sz w:val="20"/>
              </w:rPr>
              <w:t>MDXG</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6_edei--SecurityExchangeName_c2026"/>
            <w:bookmarkEnd w:id="20"/>
            <w:r>
              <w:rPr>
                <w:rFonts w:ascii="Times New Roman;Times;Serif" w:hAnsi="Times New Roman;Times;Serif"/>
                <w:b/>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MiMedx Group, Inc., a Florida corporation (the “Company”), entered into an Agreement and Plan of Merger (the “Merger Agreement”) with Sanara MedTech Inc., a Texas corporation (“Sanara”), and Mustang Merger Sub, Inc., a wholly-owned subsidiary of MiMedx (“Merger Subsidiary”), pursuant to which, among other things and subject to the terms and conditions of the Merger Agreement, Merger Subsidiary will be merged with and into Sanara (the “Merger”), with Sanara surviving the Merger as a wholly-owned subsidiary of MiMedx.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the Company and Sanara each received a request for additional information and documentary materials (a “Second Request”) from the Federal Trade Commission (the “FTC”) in connection with the FTC’s review of the Merger. The effect of a Second Request is to extend the waiting period imposed by the Hart-Scott-Rodino Antitrust Improvements Act of 1976, as amended (the “HSR Act”), until 30 days after the parties have substantially complied with the Second Request, unless that period is extended voluntarily by the parties or terminated earlier by the FTC.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Merger remains subject to the expiration or termination of the waiting period under the HSR Act and the satisfaction or waiver of the other closing conditions specified in the Merger Agreement. The Company continues to work constructively with the FTC in its review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certain forward-looking statements within the meaning of the federal securities laws made pursuant to the safe harbor provisions of the Private Securities Litigation Reform Act of 1995 with respect to the proposed transaction between MiMedx and Sanara, which involve substantial risks and uncertainties. Such statements may contain words such as “expect,” “anticipate,” “will,” “should,” “believe,” “intend,” “plan,” “estimate,” “predict,” “seek,” “continue,” “outlook,” “may,” “might,” “should,” “can have,” “have,” “likely,” “potential,” “target,” “indicative,” “illustrative,” and variations of such words and similar expressions, and relate in this presentation, without limitation, to statements, beliefs, projections and expectations about future events. Such statements are based on MiMedx’s expectations, intentions and projections regarding MiMedx’s future performance, anticipated events or trends and other matters that are not historical facts. Such forward looking statements include statements relating to, among other things, MiMedx’s expectations with respect to the (i) timing for completion of the Merger, (ii) results, benefits and synergies of the Merger, (iii) future financial performance and condition, including estimated combined surgical revenue and Adjusted EBITDA margin, and (iv) benefits of the Merger to the MiMedx and Sanara shareholders. These statements are not guarantees of future performance and are subject to known and unknown risks, uncertainties and other factors that could cause actual results to differ materially from those expressed or implied by such forward-looking statements, including: (i) economic conditions, competition, political risks, and other risks that may affect MiMedx’s future performance, including the impacts of inflationary pressures and other macroeconomic factors on MiMedx’s business, markets, supply chain, customers and workforce, on the credit and financial markets, and on the global economy generally; (ii) the future market for MiMedx’s products can depend on regulatory approval of such products, which might not occur at all or when expected, and is based in part on assumptions regarding the number of patients who elect less acute and more acute treatment than MiMedx’s products, market acceptance of MiMedx’s products, and adequate reimbursement for such therapies; (iii) failure to realize the anticipated benefits of the Merger; (iv) failure to realize expected benefits from MiMedx’s other business strategies; (v) the risk that a condition to closing may not be satisfied, that applicable regulatory approval may not be obtained, that either party may terminate the Merger Agreement or that the closing might be delayed or not occur at all; (vi) potential adverse reactions or changes to business or employee relationships (vii) adverse developments in the credit markets which could impact MiMedx’s ability to secure financing in the future; (viii) the process of obtaining regulatory clearances or approvals to market a biological product or medical device from the FDA or similar regulatory authorities outside of the U.S. is costly and time consuming, and such clearances or approvals may not be granted on a timely basis, or at all, and the ability to obtain the rights to market additional, suitable products depends on negotiations with third parties which may not be forthcoming; (ix) future sales are uncertain and are affected by competition, access to customers, patient access to hospitals and healthcare providers, the reimbursement environment and many other factors; (x) changes in applicable laws or regulations, including environmental, health and safety regulations; (xi) the possibility that MiMedx may be adversely affected by other economic, business, and/or competitive factors; (xii) market and economic conditions, or MiMedx’s financial performance; (xiii) geopolitical risks; and (xiv) other risks and uncertainties, including those discussed in MiMedx’s Annual Report on Form 10-K for the fiscal year ended December 31, 2025 filed with the SEC on February 25, 2026 under the heading “Risk Factors.” Given these risks and uncertainties, you are cautioned not to place undue reliance on forward-looking statements. Additional information concerning these risks, uncertainties and other factors that could cause actual results to vary is, or will be, included in the reports filed by MiMedx with the Securities and Exchange Commission. Forward-looking statements included in this presentation speak only as of the date hereof and, except as required by applicable law, MiMedx does not undertake any obligation to update or revise publicly any forward-looking statements, whether as a result of new information, future events or circumstances, after the date of this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MiMedx filed with the SEC a registration statement on Form S-4 that includes a proxy statement of Sanara and that also constitutes a prospectus of MiMedx. Each of MiMedx and Sanara may also file other relevant documents with the SEC regarding the proposed transaction. This communication is not a substitute for the prospectus or registration statement or any other document that MiMedx or Sanara may file with the SEC. The final prospectus has been mailed to stockholders of Sanara. INVESTORS AND SECURITY HOLDERS ARE URGED TO READ THE REGISTRATION STATEMENT, 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prospectus)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https://ir.sanaramedtech.com/.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0" w:type="dxa"/>
        <w:tblLayout w:type="fixed"/>
        <w:tblCellMar>
          <w:top w:w="0" w:type="dxa"/>
          <w:left w:w="0" w:type="dxa"/>
          <w:bottom w:w="0" w:type="dxa"/>
          <w:right w:w="0" w:type="dxa"/>
        </w:tblCellMar>
      </w:tblPr>
      <w:tblGrid>
        <w:gridCol w:w="1445"/>
        <w:gridCol w:w="320"/>
        <w:gridCol w:w="2345"/>
      </w:tblGrid>
      <w:tr>
        <w:trPr/>
        <w:tc>
          <w:tcPr>
            <w:tcW w:w="144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MIMEDX GROUP, INC.</w:t>
            </w:r>
          </w:p>
        </w:tc>
      </w:tr>
      <w:tr>
        <w:trPr/>
        <w:tc>
          <w:tcPr>
            <w:tcW w:w="144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William “Butch” Hulse</w:t>
            </w:r>
          </w:p>
        </w:tc>
      </w:tr>
      <w:tr>
        <w:trPr/>
        <w:tc>
          <w:tcPr>
            <w:tcW w:w="144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“Butch” Hulse</w:t>
              <w:br/>
              <w:t>General Counsel &amp;</w:t>
              <w:br/>
              <w:t>Chief Administrative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1591</Words>
  <Characters>9014</Characters>
  <CharactersWithSpaces>10610</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