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Quarterly Period Ended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_____________________to______________________</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001-35887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MIMEDX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61" w:type="dxa"/>
        <w:jc w:val="left"/>
        <w:tblInd w:w="0" w:type="dxa"/>
        <w:tblLayout w:type="fixed"/>
        <w:tblCellMar>
          <w:top w:w="28" w:type="dxa"/>
          <w:left w:w="28" w:type="dxa"/>
          <w:bottom w:w="28" w:type="dxa"/>
          <w:right w:w="28" w:type="dxa"/>
        </w:tblCellMar>
      </w:tblPr>
      <w:tblGrid>
        <w:gridCol w:w="1193"/>
        <w:gridCol w:w="1051"/>
        <w:gridCol w:w="1055"/>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1775 West Oak Commons Ct NE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Marietta, GA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30062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(770) 651-9100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 xml:space="preserve">Securities registered pursuant to Section 12(b) of the Act: </w:t>
      </w:r>
    </w:p>
    <w:tbl>
      <w:tblPr>
        <w:tblW w:w="9119" w:type="dxa"/>
        <w:jc w:val="center"/>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b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b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MDXG</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12(g) of the Act: None.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pPr>
      <w:r>
        <w:rPr>
          <w:rFonts w:ascii="Times New Roman;serif" w:hAnsi="Times New Roman;serif"/>
          <w:b w:val="false"/>
          <w:color w:val="000000"/>
          <w:sz w:val="20"/>
        </w:rPr>
        <w:t>Yes</w:t>
      </w:r>
      <w:r>
        <w:rPr>
          <w:color w:val="000000"/>
        </w:rPr>
        <w:t xml:space="preserve">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both"/>
        <w:rPr/>
      </w:pPr>
      <w:r>
        <w:rPr>
          <w:rFonts w:ascii="Times New Roman;serif" w:hAnsi="Times New Roman;serif"/>
          <w:b w:val="false"/>
          <w:color w:val="000000"/>
          <w:sz w:val="20"/>
        </w:rPr>
        <w:t>Yes</w:t>
      </w:r>
      <w:r>
        <w:rPr>
          <w:color w:val="000000"/>
        </w:rPr>
        <w:t xml:space="preserve">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724"/>
        <w:gridCol w:w="637"/>
        <w:gridCol w:w="639"/>
        <w:gridCol w:w="577"/>
        <w:gridCol w:w="577"/>
        <w:gridCol w:w="579"/>
        <w:gridCol w:w="731"/>
        <w:gridCol w:w="731"/>
        <w:gridCol w:w="733"/>
        <w:gridCol w:w="696"/>
        <w:gridCol w:w="696"/>
        <w:gridCol w:w="698"/>
        <w:gridCol w:w="638"/>
        <w:gridCol w:w="638"/>
        <w:gridCol w:w="911"/>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p>
        </w:tc>
        <w:tc>
          <w:tcPr>
            <w:tcW w:w="17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Accelerated filer </w:t>
            </w:r>
            <w:r>
              <w:rPr>
                <w:color w:val="000000"/>
              </w:rPr>
              <w:t>☐</w:t>
            </w:r>
          </w:p>
        </w:tc>
        <w:tc>
          <w:tcPr>
            <w:tcW w:w="21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Non-accelerated filer </w:t>
            </w:r>
            <w:r>
              <w:rPr>
                <w:color w:val="000000"/>
              </w:rPr>
              <w:t>☐</w:t>
            </w:r>
          </w:p>
        </w:tc>
        <w:tc>
          <w:tcPr>
            <w:tcW w:w="20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 ☐</w:t>
            </w:r>
          </w:p>
        </w:tc>
        <w:tc>
          <w:tcPr>
            <w:tcW w:w="21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20"/>
        </w:rPr>
        <w:t>Yes ☐ No </w:t>
      </w:r>
      <w:r>
        <w:rPr>
          <w:rFonts w:ascii="Wingdings;sans-serif" w:hAnsi="Wingdings;sans-serif"/>
          <w:b w:val="false"/>
          <w:color w:val="000000"/>
          <w:sz w:val="20"/>
        </w:rPr>
        <w:t>x</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148,945,731 shares of the registrant’s common stock, par value $0.001 per share, outstanding as of April 23,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Table of Contents</w:t>
      </w:r>
    </w:p>
    <w:tbl>
      <w:tblPr>
        <w:tblW w:w="9350" w:type="dxa"/>
        <w:jc w:val="left"/>
        <w:tblInd w:w="0" w:type="dxa"/>
        <w:tblLayout w:type="fixed"/>
        <w:tblCellMar>
          <w:top w:w="28" w:type="dxa"/>
          <w:left w:w="28" w:type="dxa"/>
          <w:bottom w:w="28" w:type="dxa"/>
          <w:right w:w="28" w:type="dxa"/>
        </w:tblCellMar>
      </w:tblPr>
      <w:tblGrid>
        <w:gridCol w:w="584"/>
        <w:gridCol w:w="515"/>
        <w:gridCol w:w="515"/>
        <w:gridCol w:w="2448"/>
        <w:gridCol w:w="2448"/>
        <w:gridCol w:w="2468"/>
        <w:gridCol w:w="109"/>
        <w:gridCol w:w="109"/>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19">
              <w:r>
                <w:rPr>
                  <w:rStyle w:val="InternetLink"/>
                  <w:rFonts w:ascii="Times New Roman;serif" w:hAnsi="Times New Roman;serif"/>
                  <w:b w:val="false"/>
                  <w:color w:val="0000FF"/>
                  <w:sz w:val="20"/>
                  <w:u w:val="single"/>
                </w:rPr>
                <w:t>5</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2">
              <w:r>
                <w:rPr>
                  <w:rStyle w:val="InternetLink"/>
                  <w:rFonts w:ascii="Times New Roman;serif" w:hAnsi="Times New Roman;serif"/>
                  <w:b w:val="false"/>
                  <w:color w:val="0000FF"/>
                  <w:sz w:val="20"/>
                  <w:u w:val="single"/>
                </w:rPr>
                <w:t>6</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5">
              <w:r>
                <w:rPr>
                  <w:rStyle w:val="InternetLink"/>
                  <w:rFonts w:ascii="Times New Roman;serif" w:hAnsi="Times New Roman;serif"/>
                  <w:b w:val="false"/>
                  <w:color w:val="0000FF"/>
                  <w:sz w:val="20"/>
                  <w:u w:val="single"/>
                </w:rPr>
                <w:t>7</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4">
              <w:r>
                <w:rPr>
                  <w:rStyle w:val="InternetLink"/>
                  <w:rFonts w:ascii="Times New Roman;serif" w:hAnsi="Times New Roman;serif"/>
                  <w:b w:val="false"/>
                  <w:color w:val="0000FF"/>
                  <w:sz w:val="20"/>
                  <w:u w:val="single"/>
                </w:rPr>
                <w:t>8</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7">
              <w:r>
                <w:rPr>
                  <w:rStyle w:val="InternetLink"/>
                  <w:rFonts w:ascii="Times New Roman;serif" w:hAnsi="Times New Roman;serif"/>
                  <w:b w:val="false"/>
                  <w:color w:val="0000FF"/>
                  <w:sz w:val="20"/>
                  <w:u w:val="single"/>
                </w:rPr>
                <w:t>9</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14">
              <w:r>
                <w:rPr>
                  <w:rStyle w:val="InternetLink"/>
                  <w:rFonts w:ascii="Times New Roman;serif" w:hAnsi="Times New Roman;serif"/>
                  <w:b w:val="false"/>
                  <w:color w:val="0000FF"/>
                  <w:sz w:val="20"/>
                  <w:u w:val="single"/>
                </w:rPr>
                <w:t>17</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95">
              <w:r>
                <w:rPr>
                  <w:rStyle w:val="InternetLink"/>
                  <w:rFonts w:ascii="Times New Roman;serif" w:hAnsi="Times New Roman;serif"/>
                  <w:b w:val="false"/>
                  <w:color w:val="0000FF"/>
                  <w:sz w:val="20"/>
                  <w:u w:val="single"/>
                </w:rPr>
                <w:t>20</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298">
              <w:r>
                <w:rPr>
                  <w:rStyle w:val="InternetLink"/>
                  <w:rFonts w:ascii="Times New Roman;serif" w:hAnsi="Times New Roman;serif"/>
                  <w:b w:val="false"/>
                  <w:color w:val="0000FF"/>
                  <w:sz w:val="20"/>
                  <w:u w:val="single"/>
                </w:rPr>
                <w:t>20</w:t>
              </w:r>
            </w:hyperlink>
          </w:p>
        </w:tc>
      </w:tr>
      <w:tr>
        <w:trPr/>
        <w:tc>
          <w:tcPr>
            <w:tcW w:w="935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   OTHER INFORMATION</w:t>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04">
              <w:r>
                <w:rPr>
                  <w:rStyle w:val="InternetLink"/>
                  <w:rFonts w:ascii="Times New Roman;serif" w:hAnsi="Times New Roman;serif"/>
                  <w:b w:val="false"/>
                  <w:color w:val="0000FF"/>
                  <w:sz w:val="20"/>
                  <w:u w:val="single"/>
                </w:rPr>
                <w:t>22</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07">
              <w:r>
                <w:rPr>
                  <w:rStyle w:val="InternetLink"/>
                  <w:rFonts w:ascii="Times New Roman;serif" w:hAnsi="Times New Roman;serif"/>
                  <w:b w:val="false"/>
                  <w:color w:val="0000FF"/>
                  <w:sz w:val="20"/>
                  <w:u w:val="single"/>
                </w:rPr>
                <w:t>22</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0">
              <w:r>
                <w:rPr>
                  <w:rStyle w:val="InternetLink"/>
                  <w:rFonts w:ascii="Times New Roman;serif" w:hAnsi="Times New Roman;serif"/>
                  <w:b w:val="false"/>
                  <w:color w:val="0000FF"/>
                  <w:sz w:val="20"/>
                  <w:u w:val="single"/>
                </w:rPr>
                <w:t>22</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3">
              <w:r>
                <w:rPr>
                  <w:rStyle w:val="InternetLink"/>
                  <w:rFonts w:ascii="Times New Roman;serif" w:hAnsi="Times New Roman;serif"/>
                  <w:b w:val="false"/>
                  <w:color w:val="0000FF"/>
                  <w:sz w:val="20"/>
                  <w:u w:val="single"/>
                </w:rPr>
                <w:t>22</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6">
              <w:r>
                <w:rPr>
                  <w:rStyle w:val="InternetLink"/>
                  <w:rFonts w:ascii="Times New Roman;serif" w:hAnsi="Times New Roman;serif"/>
                  <w:b w:val="false"/>
                  <w:color w:val="0000FF"/>
                  <w:sz w:val="20"/>
                  <w:u w:val="single"/>
                </w:rPr>
                <w:t>22</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19">
              <w:r>
                <w:rPr>
                  <w:rStyle w:val="InternetLink"/>
                  <w:rFonts w:ascii="Times New Roman;serif" w:hAnsi="Times New Roman;serif"/>
                  <w:b w:val="false"/>
                  <w:color w:val="0000FF"/>
                  <w:sz w:val="20"/>
                  <w:u w:val="single"/>
                </w:rPr>
                <w:t>22</w:t>
              </w:r>
            </w:hyperlink>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22">
              <w:r>
                <w:rPr>
                  <w:rStyle w:val="InternetLink"/>
                  <w:rFonts w:ascii="Times New Roman;serif" w:hAnsi="Times New Roman;serif"/>
                  <w:b w:val="false"/>
                  <w:color w:val="0000FF"/>
                  <w:sz w:val="20"/>
                  <w:u w:val="single"/>
                </w:rPr>
                <w:t>22</w:t>
              </w:r>
            </w:hyperlink>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c793829a0e64735af6f5866d8e8dd01_325">
              <w:r>
                <w:rPr>
                  <w:rStyle w:val="InternetLink"/>
                  <w:rFonts w:ascii="Times New Roman;serif" w:hAnsi="Times New Roman;serif"/>
                  <w:b w:val="false"/>
                  <w:color w:val="0000FF"/>
                  <w:sz w:val="20"/>
                  <w:u w:val="single"/>
                </w:rPr>
                <w:t>22</w:t>
              </w:r>
            </w:hyperlink>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Explanatory Note and Important Cautionary Statement Regarding Forward-Looking Statements</w:t>
      </w:r>
    </w:p>
    <w:p>
      <w:pPr>
        <w:pStyle w:val="TextBody"/>
        <w:bidi w:val="0"/>
        <w:spacing w:lineRule="auto" w:line="288" w:before="0" w:after="200"/>
        <w:jc w:val="both"/>
        <w:rPr/>
      </w:pPr>
      <w:r>
        <w:rPr>
          <w:rFonts w:ascii="Times New Roman;serif" w:hAnsi="Times New Roman;serif"/>
          <w:b w:val="false"/>
          <w:color w:val="000000"/>
          <w:sz w:val="20"/>
        </w:rPr>
        <w:t>As used herein, the terms “</w:t>
      </w:r>
      <w:r>
        <w:rPr>
          <w:rFonts w:ascii="Times New Roman;serif" w:hAnsi="Times New Roman;serif"/>
          <w:b/>
          <w:i/>
          <w:color w:val="000000"/>
          <w:sz w:val="20"/>
        </w:rPr>
        <w:t>MIMEDX,</w:t>
      </w:r>
      <w:r>
        <w:rPr>
          <w:color w:val="000000"/>
        </w:rPr>
        <w:t xml:space="preserve">” </w:t>
      </w:r>
      <w:r>
        <w:rPr>
          <w:rFonts w:ascii="Times New Roman;serif" w:hAnsi="Times New Roman;serif"/>
          <w:b w:val="false"/>
          <w:color w:val="000000"/>
          <w:sz w:val="20"/>
        </w:rPr>
        <w:t>the “</w:t>
      </w:r>
      <w:r>
        <w:rPr>
          <w:rFonts w:ascii="Times New Roman;serif" w:hAnsi="Times New Roman;serif"/>
          <w:b/>
          <w:i/>
          <w:color w:val="000000"/>
          <w:sz w:val="20"/>
        </w:rPr>
        <w:t>Company,</w:t>
      </w:r>
      <w:r>
        <w:rPr>
          <w:color w:val="000000"/>
        </w:rPr>
        <w:t>” “</w:t>
      </w:r>
      <w:r>
        <w:rPr>
          <w:rFonts w:ascii="Times New Roman;serif" w:hAnsi="Times New Roman;serif"/>
          <w:b/>
          <w:i/>
          <w:color w:val="000000"/>
          <w:sz w:val="20"/>
        </w:rPr>
        <w:t>we,</w:t>
      </w:r>
      <w:r>
        <w:rPr>
          <w:color w:val="000000"/>
        </w:rPr>
        <w:t>” “</w:t>
      </w:r>
      <w:r>
        <w:rPr>
          <w:rFonts w:ascii="Times New Roman;serif" w:hAnsi="Times New Roman;serif"/>
          <w:b/>
          <w:i/>
          <w:color w:val="000000"/>
          <w:sz w:val="20"/>
        </w:rPr>
        <w:t>our</w:t>
      </w:r>
      <w:r>
        <w:rPr>
          <w:color w:val="000000"/>
        </w:rPr>
        <w:t xml:space="preserve">” </w:t>
      </w:r>
      <w:r>
        <w:rPr>
          <w:rFonts w:ascii="Times New Roman;serif" w:hAnsi="Times New Roman;serif"/>
          <w:b w:val="false"/>
          <w:color w:val="000000"/>
          <w:sz w:val="20"/>
        </w:rPr>
        <w:t>and “</w:t>
      </w:r>
      <w:r>
        <w:rPr>
          <w:rFonts w:ascii="Times New Roman;serif" w:hAnsi="Times New Roman;serif"/>
          <w:b/>
          <w:i/>
          <w:color w:val="000000"/>
          <w:sz w:val="20"/>
        </w:rPr>
        <w:t>us</w:t>
      </w:r>
      <w:r>
        <w:rPr>
          <w:color w:val="000000"/>
        </w:rPr>
        <w:t xml:space="preserve">” </w:t>
      </w:r>
      <w:r>
        <w:rPr>
          <w:rFonts w:ascii="Times New Roman;serif" w:hAnsi="Times New Roman;serif"/>
          <w:b w:val="false"/>
          <w:color w:val="000000"/>
          <w:sz w:val="20"/>
        </w:rPr>
        <w:t>refer to MiMedx Group, Inc., a Florida corporation, and its consolidated subsidiaries as a combined entity, except where it is clear that the terms mean only MiMedx Group, Inc.</w:t>
      </w:r>
    </w:p>
    <w:p>
      <w:pPr>
        <w:pStyle w:val="TextBody"/>
        <w:bidi w:val="0"/>
        <w:spacing w:lineRule="auto" w:line="288" w:before="0" w:after="180"/>
        <w:jc w:val="both"/>
        <w:rPr/>
      </w:pPr>
      <w:r>
        <w:rPr>
          <w:rFonts w:ascii="Times New Roman;serif" w:hAnsi="Times New Roman;serif"/>
          <w:b w:val="false"/>
          <w:color w:val="000000"/>
          <w:sz w:val="20"/>
        </w:rPr>
        <w:t>Certain statements made in this Quarterly Report on Form 10-Q (this “</w:t>
      </w:r>
      <w:r>
        <w:rPr>
          <w:rFonts w:ascii="Times New Roman;serif" w:hAnsi="Times New Roman;serif"/>
          <w:b/>
          <w:i/>
          <w:color w:val="000000"/>
          <w:sz w:val="20"/>
        </w:rPr>
        <w:t>Quarterly Report</w:t>
      </w:r>
      <w:r>
        <w:rPr>
          <w:color w:val="000000"/>
        </w:rPr>
        <w:t>”</w:t>
      </w:r>
      <w:r>
        <w:rPr>
          <w:rFonts w:ascii="Times New Roman;serif" w:hAnsi="Times New Roman;serif"/>
          <w:b w:val="false"/>
          <w:color w:val="000000"/>
          <w:sz w:val="20"/>
        </w:rPr>
        <w:t>) are “forward-looking statements” within the meaning of Section 27A of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xml:space="preserve">), and section 21E of the Securities Exchange Act of 1934, as amended. All statements herein relating to events or results that may occur in the future are forward-looking statements, including, without limitation, statements regarding the following: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strategic focus and current business priorities, including broadening of our product portfolio, and our ability to implement these priorities;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demand for our Wound products in response to recent changes in Medicare reimbursement for skin substitutes;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of the impact of our cost reduction initiatives;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costs relating to compliance with regulatory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capital allocation;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future growth;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the outcome of pending litigation and investigations;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expectations regarding future income tax liability;</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demographic and market trends; and </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compete effectively.</w:t>
      </w:r>
    </w:p>
    <w:p>
      <w:pPr>
        <w:pStyle w:val="TextBody"/>
        <w:bidi w:val="0"/>
        <w:spacing w:lineRule="auto" w:line="288" w:before="0" w:after="180"/>
        <w:jc w:val="both"/>
        <w:rPr/>
      </w:pPr>
      <w:r>
        <w:rPr>
          <w:rFonts w:ascii="Times New Roman;serif" w:hAnsi="Times New Roman;serif"/>
          <w:b w:val="false"/>
          <w:color w:val="000000"/>
          <w:sz w:val="20"/>
        </w:rPr>
        <w:t>Forward-looking statements generally can be identified by words such as “expect,” “will,” “change,” “intend,” “seek,” “target,” “future,” “plan,” “continue,” “potential,” “possible,” “could,” “estimate,” “may,” “anticipate,” “to be” and similar expressions. These statements are based on numerous assumptions and involve known and unknown risks, uncertainties and other factors that could significantly affect the Company’s operations and may cause the Company’s actual actions, results, financial condition, performance or achievements to differ materially from any future actions, results, financial condition, performance or achievements expressed or implied by any such forward-looking statements. Factors that may cause such a difference include, without limitation, those discussed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year ended December 31, 2025 (our “</w:t>
      </w:r>
      <w:r>
        <w:rPr>
          <w:rFonts w:ascii="Times New Roman;serif" w:hAnsi="Times New Roman;serif"/>
          <w:b/>
          <w:i/>
          <w:color w:val="000000"/>
          <w:sz w:val="20"/>
        </w:rPr>
        <w:t>2025 Form 10-K</w:t>
      </w:r>
      <w:r>
        <w:rPr>
          <w:color w:val="000000"/>
        </w:rPr>
        <w:t>”</w:t>
      </w:r>
      <w:r>
        <w:rPr>
          <w:rFonts w:ascii="Times New Roman;serif" w:hAnsi="Times New Roman;serif"/>
          <w:b w:val="false"/>
          <w:color w:val="000000"/>
          <w:sz w:val="20"/>
        </w:rPr>
        <w:t>), filed with the Securities and Exchange Commission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xml:space="preserve">) on February 25, 2026 and those discussed in Part II, Item 1A, Risk Factors, if 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required by law, the Company does not intend, and undertakes no obligation, to update or publicly release any revision to any forward-looking statements, whether as a result of the receipt of new information, the occurrence of subsequent events, a change in circumstances or otherwise. Each forward-looking statement contained in this Quarterly Report is specifically qualified in its entirety by the aforementioned factors. Readers are advised to carefully read this Quarterly Report in conjunction with the important disclaimers set forth above prior to reaching any conclusions or making any investment decisions and not to place undue reliance on forward-looking statements, which speak only as of the date of the filing of this Quarterly Report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32"/>
        <w:gridCol w:w="2367"/>
        <w:gridCol w:w="2203"/>
        <w:gridCol w:w="211"/>
        <w:gridCol w:w="826"/>
        <w:gridCol w:w="109"/>
        <w:gridCol w:w="109"/>
        <w:gridCol w:w="109"/>
        <w:gridCol w:w="109"/>
        <w:gridCol w:w="216"/>
        <w:gridCol w:w="847"/>
        <w:gridCol w:w="111"/>
        <w:gridCol w:w="156"/>
      </w:tblGrid>
      <w:tr>
        <w:trPr/>
        <w:tc>
          <w:tcPr>
            <w:tcW w:w="2832"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b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 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 net</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250,000,000 shares authorized; 148,931,360 issued and outstanding at March 31, 2026 and 148,093,920 issued and outstanding at 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072" w:type="dxa"/>
        <w:jc w:val="center"/>
        <w:tblInd w:w="0" w:type="dxa"/>
        <w:tblLayout w:type="fixed"/>
        <w:tblCellMar>
          <w:top w:w="28" w:type="dxa"/>
          <w:left w:w="28" w:type="dxa"/>
          <w:bottom w:w="28" w:type="dxa"/>
          <w:right w:w="28" w:type="dxa"/>
        </w:tblCellMar>
      </w:tblPr>
      <w:tblGrid>
        <w:gridCol w:w="1682"/>
        <w:gridCol w:w="1468"/>
        <w:gridCol w:w="1484"/>
        <w:gridCol w:w="264"/>
        <w:gridCol w:w="922"/>
        <w:gridCol w:w="117"/>
        <w:gridCol w:w="117"/>
        <w:gridCol w:w="117"/>
        <w:gridCol w:w="117"/>
        <w:gridCol w:w="268"/>
        <w:gridCol w:w="918"/>
        <w:gridCol w:w="117"/>
        <w:gridCol w:w="109"/>
        <w:gridCol w:w="109"/>
        <w:gridCol w:w="109"/>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provision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(loss) income per common share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common share</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148,446,017 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147,272,324 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148,446,017 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149,677,452 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br/>
        <w:t>CONDENSED CONSOLIDATED STATEMENTS OF STOCKHOLDERS’ EQUITY</w:t>
        <w:br/>
        <w:t>(in thousands, except share data)</w:t>
        <w:b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363" w:type="dxa"/>
        <w:jc w:val="center"/>
        <w:tblInd w:w="0" w:type="dxa"/>
        <w:tblLayout w:type="fixed"/>
        <w:tblCellMar>
          <w:top w:w="28" w:type="dxa"/>
          <w:left w:w="28" w:type="dxa"/>
          <w:bottom w:w="28" w:type="dxa"/>
          <w:right w:w="28" w:type="dxa"/>
        </w:tblCellMar>
      </w:tblPr>
      <w:tblGrid>
        <w:gridCol w:w="939"/>
        <w:gridCol w:w="729"/>
        <w:gridCol w:w="298"/>
        <w:gridCol w:w="593"/>
        <w:gridCol w:w="593"/>
        <w:gridCol w:w="211"/>
        <w:gridCol w:w="109"/>
        <w:gridCol w:w="109"/>
        <w:gridCol w:w="109"/>
        <w:gridCol w:w="211"/>
        <w:gridCol w:w="466"/>
        <w:gridCol w:w="109"/>
        <w:gridCol w:w="109"/>
        <w:gridCol w:w="109"/>
        <w:gridCol w:w="109"/>
        <w:gridCol w:w="211"/>
        <w:gridCol w:w="826"/>
        <w:gridCol w:w="109"/>
        <w:gridCol w:w="109"/>
        <w:gridCol w:w="109"/>
        <w:gridCol w:w="109"/>
        <w:gridCol w:w="109"/>
        <w:gridCol w:w="109"/>
        <w:gridCol w:w="1186"/>
        <w:gridCol w:w="109"/>
        <w:gridCol w:w="211"/>
        <w:gridCol w:w="73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148,093,920 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reversal</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stock purchase plan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148,931,360 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51"/>
        <w:gridCol w:w="429"/>
        <w:gridCol w:w="432"/>
        <w:gridCol w:w="593"/>
        <w:gridCol w:w="593"/>
        <w:gridCol w:w="211"/>
        <w:gridCol w:w="116"/>
        <w:gridCol w:w="116"/>
        <w:gridCol w:w="116"/>
        <w:gridCol w:w="225"/>
        <w:gridCol w:w="497"/>
        <w:gridCol w:w="116"/>
        <w:gridCol w:w="109"/>
        <w:gridCol w:w="109"/>
        <w:gridCol w:w="109"/>
        <w:gridCol w:w="228"/>
        <w:gridCol w:w="896"/>
        <w:gridCol w:w="118"/>
        <w:gridCol w:w="109"/>
        <w:gridCol w:w="109"/>
        <w:gridCol w:w="109"/>
        <w:gridCol w:w="109"/>
        <w:gridCol w:w="109"/>
        <w:gridCol w:w="1195"/>
        <w:gridCol w:w="109"/>
        <w:gridCol w:w="211"/>
        <w:gridCol w:w="748"/>
        <w:gridCol w:w="109"/>
        <w:gridCol w:w="109"/>
        <w:gridCol w:w="109"/>
        <w:gridCol w:w="109"/>
        <w:gridCol w:w="211"/>
        <w:gridCol w:w="826"/>
        <w:gridCol w:w="160"/>
      </w:tblGrid>
      <w:tr>
        <w:trPr/>
        <w:tc>
          <w:tcPr>
            <w:tcW w:w="7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6"/>
            <w:tcBorders/>
          </w:tcPr>
          <w:p>
            <w:pPr>
              <w:pStyle w:val="TableContents"/>
              <w:bidi w:val="0"/>
              <w:spacing w:before="0" w:after="283"/>
              <w:jc w:val="left"/>
              <w:rPr>
                <w:sz w:val="4"/>
                <w:szCs w:val="4"/>
              </w:rPr>
            </w:pPr>
            <w:r>
              <w:rPr>
                <w:sz w:val="4"/>
                <w:szCs w:val="4"/>
              </w:rPr>
            </w:r>
          </w:p>
        </w:tc>
      </w:tr>
      <w:tr>
        <w:trPr/>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146,932,032 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Employee stock purchase plan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stock,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2"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147,607,622 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286,864 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MIMEDX GROUP, INC. AND SUBSIDIARIES</w:t>
      </w:r>
    </w:p>
    <w:p>
      <w:pPr>
        <w:pStyle w:val="TextBody"/>
        <w:bidi w:val="0"/>
        <w:spacing w:lineRule="auto" w:line="288" w:before="0" w:after="0"/>
        <w:jc w:val="center"/>
        <w:rPr/>
      </w:pPr>
      <w:r>
        <w:rPr>
          <w:rFonts w:ascii="Times New Roman;serif" w:hAnsi="Times New Roman;serif"/>
          <w:b w:val="false"/>
          <w:color w:val="000000"/>
          <w:sz w:val="20"/>
        </w:rPr>
        <w:t>CONDENSED CONSOLIDATED STATEMENTS OF CASH FLOWS</w:t>
      </w:r>
      <w:r>
        <w:rPr>
          <w:color w:val="000000"/>
        </w:rPr>
        <w:t xml:space="preserve"> </w:t>
      </w:r>
      <w:r>
        <w:rPr>
          <w:rFonts w:ascii="Times New Roman;serif" w:hAnsi="Times New Roman;serif"/>
          <w:b w:val="false"/>
          <w:color w:val="000000"/>
          <w:sz w:val="18"/>
        </w:rPr>
        <w:t>(in thousands)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76"/>
        <w:gridCol w:w="2344"/>
        <w:gridCol w:w="2351"/>
        <w:gridCol w:w="215"/>
        <w:gridCol w:w="846"/>
        <w:gridCol w:w="110"/>
        <w:gridCol w:w="110"/>
        <w:gridCol w:w="110"/>
        <w:gridCol w:w="110"/>
        <w:gridCol w:w="215"/>
        <w:gridCol w:w="846"/>
        <w:gridCol w:w="110"/>
        <w:gridCol w:w="162"/>
      </w:tblGrid>
      <w:tr>
        <w:trPr/>
        <w:tc>
          <w:tcPr>
            <w:tcW w:w="267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operations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flows provided by operating activities</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resulting from changes in:</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equipment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 application costs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for tax withholdings on vesting of restricted stock</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Principal payments on Citizens Term Loan Facility </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Profit Share Payment (Note 12)</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106,431 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37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MIMEDX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1.Nature of Business</w:t>
      </w:r>
    </w:p>
    <w:p>
      <w:pPr>
        <w:pStyle w:val="TextBody"/>
        <w:bidi w:val="0"/>
        <w:spacing w:lineRule="auto" w:line="288" w:before="120" w:after="200"/>
        <w:jc w:val="both"/>
        <w:rPr/>
      </w:pPr>
      <w:r>
        <w:rPr>
          <w:rFonts w:ascii="Times New Roman;serif" w:hAnsi="Times New Roman;serif"/>
          <w:b w:val="false"/>
          <w:color w:val="000000"/>
          <w:sz w:val="20"/>
        </w:rPr>
        <w:t>MiMedx Group, Inc. (together with its subsidiaries, except where the context otherwise requires, “</w:t>
      </w:r>
      <w:r>
        <w:rPr>
          <w:rFonts w:ascii="Times New Roman;serif" w:hAnsi="Times New Roman;serif"/>
          <w:b/>
          <w:i/>
          <w:color w:val="000000"/>
          <w:sz w:val="20"/>
        </w:rPr>
        <w:t>MIMEDX</w:t>
      </w:r>
      <w:r>
        <w:rPr>
          <w:rFonts w:ascii="Times New Roman;serif" w:hAnsi="Times New Roman;serif"/>
          <w:b w:val="false"/>
          <w:color w:val="000000"/>
          <w:sz w:val="20"/>
        </w:rPr>
        <w:t>,” or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 a pioneer and leader focused on helping humans heal. With more than a decade of helping clinicians manage chronic and other hard-to-heal wounds, MIMEDX is dedicated to providing a leading portfolio of products for applications in the wound care, burn, and surgical sectors of healthcare. The Company’s vision is to be the leading global provider of healing solutions through relentless innovation to restore quality of life. All of the Company’s products sold in the United States are regulated by the United States Food and Drug Administration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product portfolio and product development focuses on Surgical and Wound markets.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business is focused primarily on the United States, but the Company also has an emerging commercial presence in several international locations, including Japan.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2.Significant Accounting Policies</w:t>
      </w:r>
    </w:p>
    <w:p>
      <w:pPr>
        <w:pStyle w:val="TextBody"/>
        <w:bidi w:val="0"/>
        <w:spacing w:lineRule="auto" w:line="288" w:before="120" w:after="200"/>
        <w:jc w:val="both"/>
        <w:rPr/>
      </w:pPr>
      <w:r>
        <w:rPr>
          <w:rFonts w:ascii="Times New Roman;serif" w:hAnsi="Times New Roman;serif"/>
          <w:b w:val="false"/>
          <w:color w:val="000000"/>
          <w:sz w:val="20"/>
        </w:rPr>
        <w:t xml:space="preserve">Please see Note 2, </w:t>
      </w:r>
      <w:r>
        <w:rPr>
          <w:rFonts w:ascii="Times New Roman;serif" w:hAnsi="Times New Roman;serif"/>
          <w:b w:val="false"/>
          <w:i/>
          <w:color w:val="000000"/>
          <w:sz w:val="20"/>
        </w:rPr>
        <w:t>Significant Accounting Policies</w:t>
      </w:r>
      <w:r>
        <w:rPr>
          <w:rFonts w:ascii="Times New Roman;serif" w:hAnsi="Times New Roman;serif"/>
          <w:b w:val="false"/>
          <w:color w:val="000000"/>
          <w:sz w:val="20"/>
        </w:rPr>
        <w:t>, to the Company’s Consolidated Financial Statements included in the Company’s Annual Report on Form 10-K for the year ended December 31, 2025 (the “</w:t>
      </w:r>
      <w:r>
        <w:rPr>
          <w:rFonts w:ascii="Times New Roman;serif" w:hAnsi="Times New Roman;serif"/>
          <w:b/>
          <w:i/>
          <w:color w:val="000000"/>
          <w:sz w:val="20"/>
        </w:rPr>
        <w:t>2025 Form 10-K</w:t>
      </w:r>
      <w:r>
        <w:rPr>
          <w:color w:val="000000"/>
        </w:rPr>
        <w:t>”</w:t>
      </w:r>
      <w:r>
        <w:rPr>
          <w:rFonts w:ascii="Times New Roman;serif" w:hAnsi="Times New Roman;serif"/>
          <w:b w:val="false"/>
          <w:color w:val="000000"/>
          <w:sz w:val="20"/>
        </w:rPr>
        <w:t>), filed with the Securities and Exchange Commission (“</w:t>
      </w:r>
      <w:r>
        <w:rPr>
          <w:rFonts w:ascii="Times New Roman;serif" w:hAnsi="Times New Roman;serif"/>
          <w:b/>
          <w:i/>
          <w:color w:val="000000"/>
          <w:sz w:val="20"/>
        </w:rPr>
        <w:t>SEC</w:t>
      </w:r>
      <w:r>
        <w:rPr>
          <w:color w:val="000000"/>
        </w:rPr>
        <w:t>”</w:t>
      </w:r>
      <w:r>
        <w:rPr>
          <w:rFonts w:ascii="Times New Roman;serif" w:hAnsi="Times New Roman;serif"/>
          <w:b w:val="false"/>
          <w:color w:val="000000"/>
          <w:sz w:val="20"/>
        </w:rPr>
        <w:t>) on February 25, 2026 for a description of all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00"/>
        <w:jc w:val="both"/>
        <w:rPr/>
      </w:pPr>
      <w:r>
        <w:rPr>
          <w:rFonts w:ascii="Times New Roman;serif" w:hAnsi="Times New Roman;serif"/>
          <w:b w:val="false"/>
          <w:color w:val="000000"/>
          <w:sz w:val="20"/>
        </w:rPr>
        <w:t>The unaudited condensed consolidated financial statements have been prepared in accordance with accounting principles generally accepted in the United States of America (“</w:t>
      </w:r>
      <w:r>
        <w:rPr>
          <w:rFonts w:ascii="Times New Roman;serif" w:hAnsi="Times New Roman;serif"/>
          <w:b/>
          <w:i/>
          <w:color w:val="000000"/>
          <w:sz w:val="20"/>
        </w:rPr>
        <w:t>GAAP</w:t>
      </w:r>
      <w:r>
        <w:rPr>
          <w:color w:val="000000"/>
        </w:rPr>
        <w:t>”</w:t>
      </w:r>
      <w:r>
        <w:rPr>
          <w:rFonts w:ascii="Times New Roman;serif" w:hAnsi="Times New Roman;serif"/>
          <w:b w:val="false"/>
          <w:color w:val="000000"/>
          <w:sz w:val="20"/>
        </w:rPr>
        <w:t>) for interim financial information and with the instructions to Form 10-Q and Article 10 of Regulation S-X. Accordingly, they do not include all of the information and footnotes required by GAAP for complete financial statements. In the opinion of management, all adjustments considered necessary for a fair presentation of the results of operations for the periods presented have been included. The operating results for the three months ended March 31, 2026 and 2025 are not necessarily indicative of the results that may be expected for the full fiscal year. The balance sheet as of December 31, 2025 was derived from the audited consolidated financial statements at that date, but does not include all of the information and footnotes required by GAAP for complete financial statements.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historical consolidated financial statements of the Company included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MiMedx Group, Inc. and its wholly-owned subsidiaries. All intercompany balances and transactions have been eliminated upon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GAAP requires management to make estimates and assumptions that affect the reported amounts of assets and liabilities and disclosure of contingent assets and liabilities at the date of the condensed consolidated financial statements and the reported condensed consolidated statements of operations during the reporting period. Actual results could differ from those estimates. Significant estimates include estimated useful lives and potential impairment of property and equipment, estimates of impairment for goodwill and intangible assets, estimates of useful lives for intangible assets, estimates of loss for contingent liabilities, estimate of allowance for doubtful accounts, estimates of fair value of and the probable achievement of performance conditions associated with share-based payment awards, estimates of returns and allowances, estimate of fair value of the remaining Profit Share Payments (as defined below), determination of fair value of hybrid instruments valued under the Fair Value Option, and valuation of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Accounting Standards Update 2024-04 - Income Statement - Reporting Comprehensive Income - Expense Disaggregation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 - Reporting Comprehensive Income - Expense Disaggregation Disclosures (Subtopic 220-40),</w:t>
      </w:r>
      <w:r>
        <w:rPr>
          <w:color w:val="000000"/>
        </w:rPr>
        <w:t xml:space="preserve">” </w:t>
      </w:r>
      <w:r>
        <w:rPr>
          <w:rFonts w:ascii="Times New Roman;serif" w:hAnsi="Times New Roman;serif"/>
          <w:b w:val="false"/>
          <w:color w:val="000000"/>
          <w:sz w:val="20"/>
        </w:rPr>
        <w:t xml:space="preserve">which requires disaggregated disclosure of certain income statement expenses within the footnotes to the financial statements. ASU 2024-03 is intended to address requests from investors for more detailed information about the types of expenses in commonly presented expense captions such as cost of sales, selling, general and administrative expenses, and research and development. Adoption is required for annual periods beginning after December 15, 2026 and interim periods within annual periods beginning after December 15, 2027. The Company is currently evaluating the impact of this standard on its consolidated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other ASUs issued and not yet effective as of March 31, 2026, and through the date of this report, were assessed and determined to be either not applicable or are expected to have minimal impact on the Company’s current and future financial position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3. Accounts Receivable, Net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 (in thousands):</w:t>
      </w:r>
    </w:p>
    <w:tbl>
      <w:tblPr>
        <w:tblW w:w="6159" w:type="dxa"/>
        <w:jc w:val="left"/>
        <w:tblInd w:w="0" w:type="dxa"/>
        <w:tblLayout w:type="fixed"/>
        <w:tblCellMar>
          <w:top w:w="28" w:type="dxa"/>
          <w:left w:w="28" w:type="dxa"/>
          <w:bottom w:w="28" w:type="dxa"/>
          <w:right w:w="28" w:type="dxa"/>
        </w:tblCellMar>
      </w:tblPr>
      <w:tblGrid>
        <w:gridCol w:w="982"/>
        <w:gridCol w:w="863"/>
        <w:gridCol w:w="869"/>
        <w:gridCol w:w="282"/>
        <w:gridCol w:w="966"/>
        <w:gridCol w:w="146"/>
        <w:gridCol w:w="109"/>
        <w:gridCol w:w="109"/>
        <w:gridCol w:w="109"/>
        <w:gridCol w:w="335"/>
        <w:gridCol w:w="1145"/>
        <w:gridCol w:w="244"/>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46,034 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75,707 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allowance for credit losses for the three months ended March 31, 2026 and 2025 were as follows (in thousands):</w:t>
      </w:r>
    </w:p>
    <w:tbl>
      <w:tblPr>
        <w:tblW w:w="3684" w:type="dxa"/>
        <w:jc w:val="left"/>
        <w:tblInd w:w="0" w:type="dxa"/>
        <w:tblLayout w:type="fixed"/>
        <w:tblCellMar>
          <w:top w:w="28" w:type="dxa"/>
          <w:left w:w="28" w:type="dxa"/>
          <w:bottom w:w="28" w:type="dxa"/>
          <w:right w:w="28" w:type="dxa"/>
        </w:tblCellMar>
      </w:tblPr>
      <w:tblGrid>
        <w:gridCol w:w="939"/>
        <w:gridCol w:w="825"/>
        <w:gridCol w:w="830"/>
        <w:gridCol w:w="211"/>
        <w:gridCol w:w="616"/>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80"/>
        <w:jc w:val="both"/>
        <w:rPr/>
      </w:pPr>
      <w:r>
        <w:rPr/>
      </w:r>
    </w:p>
    <w:tbl>
      <w:tblPr>
        <w:tblW w:w="3684" w:type="dxa"/>
        <w:jc w:val="left"/>
        <w:tblInd w:w="0" w:type="dxa"/>
        <w:tblLayout w:type="fixed"/>
        <w:tblCellMar>
          <w:top w:w="28" w:type="dxa"/>
          <w:left w:w="28" w:type="dxa"/>
          <w:bottom w:w="28" w:type="dxa"/>
          <w:right w:w="28" w:type="dxa"/>
        </w:tblCellMar>
      </w:tblPr>
      <w:tblGrid>
        <w:gridCol w:w="939"/>
        <w:gridCol w:w="825"/>
        <w:gridCol w:w="830"/>
        <w:gridCol w:w="211"/>
        <w:gridCol w:w="616"/>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4870" w:type="dxa"/>
        <w:jc w:val="left"/>
        <w:tblInd w:w="0" w:type="dxa"/>
        <w:tblLayout w:type="fixed"/>
        <w:tblCellMar>
          <w:top w:w="28" w:type="dxa"/>
          <w:left w:w="28" w:type="dxa"/>
          <w:bottom w:w="28" w:type="dxa"/>
          <w:right w:w="28" w:type="dxa"/>
        </w:tblCellMar>
      </w:tblPr>
      <w:tblGrid>
        <w:gridCol w:w="516"/>
        <w:gridCol w:w="453"/>
        <w:gridCol w:w="456"/>
        <w:gridCol w:w="282"/>
        <w:gridCol w:w="966"/>
        <w:gridCol w:w="146"/>
        <w:gridCol w:w="109"/>
        <w:gridCol w:w="109"/>
        <w:gridCol w:w="109"/>
        <w:gridCol w:w="335"/>
        <w:gridCol w:w="1145"/>
        <w:gridCol w:w="244"/>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7554" w:type="dxa"/>
        <w:jc w:val="left"/>
        <w:tblInd w:w="0" w:type="dxa"/>
        <w:tblLayout w:type="fixed"/>
        <w:tblCellMar>
          <w:top w:w="28" w:type="dxa"/>
          <w:left w:w="28" w:type="dxa"/>
          <w:bottom w:w="28" w:type="dxa"/>
          <w:right w:w="28" w:type="dxa"/>
        </w:tblCellMar>
      </w:tblPr>
      <w:tblGrid>
        <w:gridCol w:w="1490"/>
        <w:gridCol w:w="1307"/>
        <w:gridCol w:w="1312"/>
        <w:gridCol w:w="282"/>
        <w:gridCol w:w="966"/>
        <w:gridCol w:w="146"/>
        <w:gridCol w:w="109"/>
        <w:gridCol w:w="109"/>
        <w:gridCol w:w="109"/>
        <w:gridCol w:w="335"/>
        <w:gridCol w:w="1145"/>
        <w:gridCol w:w="244"/>
      </w:tblGrid>
      <w:tr>
        <w:trPr/>
        <w:tc>
          <w:tcPr>
            <w:tcW w:w="149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and clean room equipment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retirement cost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Depreciation expense was the following (in thousands):</w:t>
      </w:r>
    </w:p>
    <w:tbl>
      <w:tblPr>
        <w:tblW w:w="5070" w:type="dxa"/>
        <w:jc w:val="left"/>
        <w:tblInd w:w="0" w:type="dxa"/>
        <w:tblLayout w:type="fixed"/>
        <w:tblCellMar>
          <w:top w:w="28" w:type="dxa"/>
          <w:left w:w="28" w:type="dxa"/>
          <w:bottom w:w="28" w:type="dxa"/>
          <w:right w:w="28" w:type="dxa"/>
        </w:tblCellMar>
      </w:tblPr>
      <w:tblGrid>
        <w:gridCol w:w="690"/>
        <w:gridCol w:w="607"/>
        <w:gridCol w:w="608"/>
        <w:gridCol w:w="298"/>
        <w:gridCol w:w="659"/>
        <w:gridCol w:w="154"/>
        <w:gridCol w:w="154"/>
        <w:gridCol w:w="154"/>
        <w:gridCol w:w="154"/>
        <w:gridCol w:w="298"/>
        <w:gridCol w:w="659"/>
        <w:gridCol w:w="154"/>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6.     Intangible Assets, Net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Intangible assets, net, are summarized as follows (in thousands):</w:t>
      </w:r>
    </w:p>
    <w:tbl>
      <w:tblPr>
        <w:tblW w:w="10205" w:type="dxa"/>
        <w:jc w:val="center"/>
        <w:tblInd w:w="0" w:type="dxa"/>
        <w:tblLayout w:type="fixed"/>
        <w:tblCellMar>
          <w:top w:w="28" w:type="dxa"/>
          <w:left w:w="28" w:type="dxa"/>
          <w:bottom w:w="28" w:type="dxa"/>
          <w:right w:w="28" w:type="dxa"/>
        </w:tblCellMar>
      </w:tblPr>
      <w:tblGrid>
        <w:gridCol w:w="680"/>
        <w:gridCol w:w="476"/>
        <w:gridCol w:w="477"/>
        <w:gridCol w:w="267"/>
        <w:gridCol w:w="914"/>
        <w:gridCol w:w="138"/>
        <w:gridCol w:w="299"/>
        <w:gridCol w:w="1048"/>
        <w:gridCol w:w="157"/>
        <w:gridCol w:w="258"/>
        <w:gridCol w:w="882"/>
        <w:gridCol w:w="133"/>
        <w:gridCol w:w="109"/>
        <w:gridCol w:w="109"/>
        <w:gridCol w:w="109"/>
        <w:gridCol w:w="267"/>
        <w:gridCol w:w="914"/>
        <w:gridCol w:w="138"/>
        <w:gridCol w:w="299"/>
        <w:gridCol w:w="1048"/>
        <w:gridCol w:w="157"/>
        <w:gridCol w:w="256"/>
        <w:gridCol w:w="875"/>
        <w:gridCol w:w="195"/>
      </w:tblGrid>
      <w:tr>
        <w:trPr/>
        <w:tc>
          <w:tcPr>
            <w:tcW w:w="68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intangible assets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know-how</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Supplier relationships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13,117 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intangible assets:</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 and trademarks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in Process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7. Accrued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5874" w:type="dxa"/>
        <w:jc w:val="center"/>
        <w:tblInd w:w="0" w:type="dxa"/>
        <w:tblLayout w:type="fixed"/>
        <w:tblCellMar>
          <w:top w:w="28" w:type="dxa"/>
          <w:left w:w="28" w:type="dxa"/>
          <w:bottom w:w="28" w:type="dxa"/>
          <w:right w:w="28" w:type="dxa"/>
        </w:tblCellMar>
      </w:tblPr>
      <w:tblGrid>
        <w:gridCol w:w="879"/>
        <w:gridCol w:w="773"/>
        <w:gridCol w:w="777"/>
        <w:gridCol w:w="282"/>
        <w:gridCol w:w="966"/>
        <w:gridCol w:w="146"/>
        <w:gridCol w:w="109"/>
        <w:gridCol w:w="109"/>
        <w:gridCol w:w="109"/>
        <w:gridCol w:w="335"/>
        <w:gridCol w:w="1145"/>
        <w:gridCol w:w="24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to sales agents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sales returns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costs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8.    Long Term Debt,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Citizens Credit Agreement</w:t>
      </w:r>
    </w:p>
    <w:p>
      <w:pPr>
        <w:pStyle w:val="TextBody"/>
        <w:bidi w:val="0"/>
        <w:spacing w:lineRule="auto" w:line="288" w:before="0" w:after="180"/>
        <w:jc w:val="both"/>
        <w:rPr/>
      </w:pPr>
      <w:r>
        <w:rPr>
          <w:rFonts w:ascii="Times New Roman;serif" w:hAnsi="Times New Roman;serif"/>
          <w:b w:val="false"/>
          <w:color w:val="000000"/>
          <w:sz w:val="20"/>
        </w:rPr>
        <w:t>On January 19, 2024, the Company entered into the Citizens Credit Agreement, which provided the Company with a $75.0 million Revolving Credit Facility and a $20.0 million Term Loan Facility. The Company had no outstanding borrowings under the Revolving Credit Facility as of March 31, 2026. The Term Loan Facility matures on January 19, 2029 (the “</w:t>
      </w:r>
      <w:r>
        <w:rPr>
          <w:rFonts w:ascii="Times New Roman;serif" w:hAnsi="Times New Roman;serif"/>
          <w:b/>
          <w:i/>
          <w:color w:val="000000"/>
          <w:sz w:val="20"/>
        </w:rPr>
        <w:t>Maturity Date</w:t>
      </w:r>
      <w:r>
        <w:rPr>
          <w:color w:val="000000"/>
        </w:rPr>
        <w:t>”</w:t>
      </w:r>
      <w:r>
        <w:rPr>
          <w:rFonts w:ascii="Times New Roman;serif" w:hAnsi="Times New Roman;serif"/>
          <w:b w:val="false"/>
          <w:color w:val="000000"/>
          <w:sz w:val="2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Citizens Credit Agreement bear interest at a rate per annum equal to (i) the Alternate Base Rate, as defined therein, or (ii) a Term SOFR as defined therein, in each case plus an applicable margin ranging from 1.25% and 2.50% with respect to Alternate Base Rate borrowings and 2.25% and 3.50% for Term SOFR borrowings, plus a fallback provision of 0.1%. The Term Loan Facility carried an interest rate of 6.0% as of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noncurrent portion of the Term Loan Facility was $16.1 million and $16.5 million as of March 31, 2026 and December 31, 2025, respectively. The current portion of the Term Loan Facility was $1.5 million as of both March 31, 2026 and December 31,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expense related to the Term Loan Facility included in interest income, net in the unaudited condensed consolidated statements of operations was $0.3 million and $0.4 million for the three months ended March 31, 2026 and March 31, 2025, respectively.</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Interest expense related to the Revolving Credit Facility included in interest income, net in the unaudited condensed consolidated statements of operations was $0.1 million for the three months ended March 31, 2026 and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summary of principal payments due on the Term Loan Facility, by year, from March 31, 2026 through maturity are as follows (in thousands):</w:t>
      </w:r>
    </w:p>
    <w:tbl>
      <w:tblPr>
        <w:tblW w:w="5886" w:type="dxa"/>
        <w:jc w:val="center"/>
        <w:tblInd w:w="0" w:type="dxa"/>
        <w:tblLayout w:type="fixed"/>
        <w:tblCellMar>
          <w:top w:w="28" w:type="dxa"/>
          <w:left w:w="28" w:type="dxa"/>
          <w:bottom w:w="28" w:type="dxa"/>
          <w:right w:w="28" w:type="dxa"/>
        </w:tblCellMar>
      </w:tblPr>
      <w:tblGrid>
        <w:gridCol w:w="1738"/>
        <w:gridCol w:w="1526"/>
        <w:gridCol w:w="1536"/>
        <w:gridCol w:w="211"/>
        <w:gridCol w:w="721"/>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w:t>
            </w:r>
          </w:p>
        </w:tc>
      </w:tr>
      <w:tr>
        <w:trPr/>
        <w:tc>
          <w:tcPr>
            <w:tcW w:w="4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three months ended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principal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As of March 31, 2026, the fair value of the Term Loan Facility was $16.9 million. This valuation was calculated based on a series of Level 2 and Level 3 inputs, including a discount rate based on the credit risk spread of debt instruments of similar risk character in reference to U.S. Treasury instruments with similar maturities, with an incremental risk premium for risk factors specific to the Company. Fair value was calculated by discounting the remaining cash flows associated with the Term Loan Facility to March 31, 2026 using this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Net Income Per Common Share</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Net income per common share is calculated using two methods: basic and diluted.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Basic Net Income Per Common Share</w:t>
      </w:r>
    </w:p>
    <w:p>
      <w:pPr>
        <w:pStyle w:val="TextBody"/>
        <w:bidi w:val="0"/>
        <w:spacing w:lineRule="auto" w:line="288" w:before="0" w:after="180"/>
        <w:jc w:val="both"/>
        <w:rPr/>
      </w:pPr>
      <w:r>
        <w:rPr>
          <w:rFonts w:ascii="Times New Roman;serif" w:hAnsi="Times New Roman;serif"/>
          <w:b w:val="false"/>
          <w:color w:val="000000"/>
          <w:sz w:val="20"/>
          <w:shd w:fill="FFFFFF" w:val="clear"/>
        </w:rPr>
        <w:t>The following table provides</w:t>
      </w:r>
      <w:r>
        <w:rPr>
          <w:color w:val="000000"/>
        </w:rPr>
        <w:t xml:space="preserve"> </w:t>
      </w:r>
      <w:r>
        <w:rPr>
          <w:rFonts w:ascii="Times New Roman;serif" w:hAnsi="Times New Roman;serif"/>
          <w:b w:val="false"/>
          <w:color w:val="000000"/>
          <w:sz w:val="20"/>
        </w:rPr>
        <w:t xml:space="preserve">a reconciliation of net income from continuing operations and calculation of basic net income per common share for each of the three months ended March 31, 2026 and 2025 (in thousands, except share and per share amounts). </w:t>
      </w:r>
    </w:p>
    <w:tbl>
      <w:tblPr>
        <w:tblW w:w="7367" w:type="dxa"/>
        <w:jc w:val="center"/>
        <w:tblInd w:w="0" w:type="dxa"/>
        <w:tblLayout w:type="fixed"/>
        <w:tblCellMar>
          <w:top w:w="28" w:type="dxa"/>
          <w:left w:w="28" w:type="dxa"/>
          <w:bottom w:w="28" w:type="dxa"/>
          <w:right w:w="28" w:type="dxa"/>
        </w:tblCellMar>
      </w:tblPr>
      <w:tblGrid>
        <w:gridCol w:w="1409"/>
        <w:gridCol w:w="1241"/>
        <w:gridCol w:w="1249"/>
        <w:gridCol w:w="264"/>
        <w:gridCol w:w="922"/>
        <w:gridCol w:w="123"/>
        <w:gridCol w:w="123"/>
        <w:gridCol w:w="123"/>
        <w:gridCol w:w="123"/>
        <w:gridCol w:w="302"/>
        <w:gridCol w:w="884"/>
        <w:gridCol w:w="123"/>
        <w:gridCol w:w="109"/>
        <w:gridCol w:w="109"/>
        <w:gridCol w:w="109"/>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148,446,017 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147,272,324 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common share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Diluted Net Income Per Common Share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diluted net income per common share (in thousands, except share and per share amounts):</w:t>
      </w:r>
    </w:p>
    <w:tbl>
      <w:tblPr>
        <w:tblW w:w="9692" w:type="dxa"/>
        <w:jc w:val="center"/>
        <w:tblInd w:w="0" w:type="dxa"/>
        <w:tblLayout w:type="fixed"/>
        <w:tblCellMar>
          <w:top w:w="28" w:type="dxa"/>
          <w:left w:w="28" w:type="dxa"/>
          <w:bottom w:w="28" w:type="dxa"/>
          <w:right w:w="28" w:type="dxa"/>
        </w:tblCellMar>
      </w:tblPr>
      <w:tblGrid>
        <w:gridCol w:w="2249"/>
        <w:gridCol w:w="1981"/>
        <w:gridCol w:w="1994"/>
        <w:gridCol w:w="264"/>
        <w:gridCol w:w="922"/>
        <w:gridCol w:w="123"/>
        <w:gridCol w:w="123"/>
        <w:gridCol w:w="123"/>
        <w:gridCol w:w="123"/>
        <w:gridCol w:w="302"/>
        <w:gridCol w:w="884"/>
        <w:gridCol w:w="123"/>
        <w:gridCol w:w="109"/>
        <w:gridCol w:w="109"/>
        <w:gridCol w:w="109"/>
        <w:gridCol w:w="154"/>
      </w:tblGrid>
      <w:tr>
        <w:trPr/>
        <w:tc>
          <w:tcPr>
            <w:tcW w:w="224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148,446,017 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147,272,324 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awards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2,405,128 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adjusted for potential common shares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148,446,017 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149,677,452 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common share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Weighted average common shares outstanding for the calculation of diluted net loss per common share does not include the following adjustments for potential common shares below because their effects were determined to be antidilutive for the periods presented.</w:t>
      </w:r>
    </w:p>
    <w:tbl>
      <w:tblPr>
        <w:tblW w:w="5531" w:type="dxa"/>
        <w:jc w:val="left"/>
        <w:tblInd w:w="0" w:type="dxa"/>
        <w:tblLayout w:type="fixed"/>
        <w:tblCellMar>
          <w:top w:w="28" w:type="dxa"/>
          <w:left w:w="28" w:type="dxa"/>
          <w:bottom w:w="28" w:type="dxa"/>
          <w:right w:w="28" w:type="dxa"/>
        </w:tblCellMar>
      </w:tblPr>
      <w:tblGrid>
        <w:gridCol w:w="933"/>
        <w:gridCol w:w="820"/>
        <w:gridCol w:w="826"/>
        <w:gridCol w:w="513"/>
        <w:gridCol w:w="290"/>
        <w:gridCol w:w="290"/>
        <w:gridCol w:w="290"/>
        <w:gridCol w:w="290"/>
        <w:gridCol w:w="290"/>
        <w:gridCol w:w="290"/>
        <w:gridCol w:w="290"/>
        <w:gridCol w:w="40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awards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1,079,041</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281,118</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 awards</w:t>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350,833</w:t>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 common shares</w:t>
            </w:r>
          </w:p>
        </w:tc>
        <w:tc>
          <w:tcPr>
            <w:tcW w:w="109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1,710,992</w:t>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Company were 29.2% and 18.5% for the three months ended March 31, 2026 and March 31, 2025,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the effective tax rate for the three months ended March 31, 2026 was primarily due to the timing of stock-based compensation adjustments, partially offset by limits on the deductibility of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11.    Supplemental Disclosure of Cash Flow and Non-cash Investing and 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Selected cash payments, receipts, and non-cash activities are as follows (in thousands):</w:t>
      </w:r>
    </w:p>
    <w:tbl>
      <w:tblPr>
        <w:tblW w:w="7738" w:type="dxa"/>
        <w:jc w:val="center"/>
        <w:tblInd w:w="0" w:type="dxa"/>
        <w:tblLayout w:type="fixed"/>
        <w:tblCellMar>
          <w:top w:w="28" w:type="dxa"/>
          <w:left w:w="28" w:type="dxa"/>
          <w:bottom w:w="28" w:type="dxa"/>
          <w:right w:w="28" w:type="dxa"/>
        </w:tblCellMar>
      </w:tblPr>
      <w:tblGrid>
        <w:gridCol w:w="1813"/>
        <w:gridCol w:w="1592"/>
        <w:gridCol w:w="1605"/>
        <w:gridCol w:w="296"/>
        <w:gridCol w:w="654"/>
        <w:gridCol w:w="153"/>
        <w:gridCol w:w="153"/>
        <w:gridCol w:w="153"/>
        <w:gridCol w:w="153"/>
        <w:gridCol w:w="296"/>
        <w:gridCol w:w="654"/>
        <w:gridCol w:w="216"/>
      </w:tblGrid>
      <w:tr>
        <w:trPr/>
        <w:tc>
          <w:tcPr>
            <w:tcW w:w="1813"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pursuant to employee stock purchase plan</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center"/>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Profit Share Payments</w:t>
      </w:r>
    </w:p>
    <w:p>
      <w:pPr>
        <w:pStyle w:val="TextBody"/>
        <w:bidi w:val="0"/>
        <w:spacing w:lineRule="auto" w:line="288" w:before="0" w:after="180"/>
        <w:jc w:val="both"/>
        <w:rPr/>
      </w:pPr>
      <w:r>
        <w:rPr>
          <w:rFonts w:ascii="Times New Roman;serif" w:hAnsi="Times New Roman;serif"/>
          <w:b w:val="false"/>
          <w:color w:val="000000"/>
          <w:sz w:val="20"/>
        </w:rPr>
        <w:t>On March 15, 2024, the Company entered into an Asset Purchase Agreement (the “</w:t>
      </w:r>
      <w:r>
        <w:rPr>
          <w:rFonts w:ascii="Times New Roman;serif" w:hAnsi="Times New Roman;serif"/>
          <w:b/>
          <w:i/>
          <w:color w:val="000000"/>
          <w:sz w:val="20"/>
        </w:rPr>
        <w:t>TELA APA</w:t>
      </w:r>
      <w:r>
        <w:rPr>
          <w:color w:val="000000"/>
        </w:rPr>
        <w:t>”</w:t>
      </w:r>
      <w:r>
        <w:rPr>
          <w:rFonts w:ascii="Times New Roman;serif" w:hAnsi="Times New Roman;serif"/>
          <w:b w:val="false"/>
          <w:color w:val="000000"/>
          <w:sz w:val="20"/>
        </w:rPr>
        <w:t>) with TELA Bio, Inc. (</w:t>
      </w:r>
      <w:r>
        <w:rPr>
          <w:color w:val="000000"/>
        </w:rPr>
        <w:t>“</w:t>
      </w:r>
      <w:r>
        <w:rPr>
          <w:rFonts w:ascii="Times New Roman;serif" w:hAnsi="Times New Roman;serif"/>
          <w:b/>
          <w:i/>
          <w:color w:val="000000"/>
          <w:sz w:val="20"/>
        </w:rPr>
        <w:t>TELA”</w:t>
      </w:r>
      <w:r>
        <w:rPr>
          <w:rFonts w:ascii="Times New Roman;serif" w:hAnsi="Times New Roman;serif"/>
          <w:b w:val="false"/>
          <w:color w:val="000000"/>
          <w:sz w:val="20"/>
        </w:rPr>
        <w:t>) to obtain exclusive rights to sell and market a 510(k)-cleared collagen particulate xenograft product in the United States. Pursuant to the TELA APA, the Company is required to make payments (the “</w:t>
      </w:r>
      <w:r>
        <w:rPr>
          <w:rFonts w:ascii="Times New Roman;serif" w:hAnsi="Times New Roman;serif"/>
          <w:b/>
          <w:i/>
          <w:color w:val="000000"/>
          <w:sz w:val="20"/>
        </w:rPr>
        <w:t>Profit Share Payments</w:t>
      </w:r>
      <w:r>
        <w:rPr>
          <w:color w:val="000000"/>
        </w:rPr>
        <w:t>”</w:t>
      </w:r>
      <w:r>
        <w:rPr>
          <w:rFonts w:ascii="Times New Roman;serif" w:hAnsi="Times New Roman;serif"/>
          <w:b w:val="false"/>
          <w:color w:val="000000"/>
          <w:sz w:val="20"/>
        </w:rPr>
        <w:t>) of between a minimum of $3.0 million and a maximum of $7.0 million based on MIMEDX’s net sales of the product over the two years following its commercialization of the product, which occurred during the second quarter of 2024. The company’s remaining obligation of Profit Share Payments to TELA as of March 31, 2026 was $1.3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the fair value for the minimum amount of Profit Share Payments was $1.3 million. This amount reflects the anticipated timing of such Profit Share Payments, discounted to present value at a discount rate approximating the Company’s borrowing rate plus a risk premium, all of which reflect Level 3 inputs. This amount is reflected as part of other current liabilities in the unaudited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Litigation and Regulatory Matters</w:t>
      </w:r>
    </w:p>
    <w:p>
      <w:pPr>
        <w:pStyle w:val="TextBody"/>
        <w:bidi w:val="0"/>
        <w:spacing w:lineRule="auto" w:line="288" w:before="0" w:after="180"/>
        <w:jc w:val="both"/>
        <w:rPr/>
      </w:pPr>
      <w:r>
        <w:rPr>
          <w:rFonts w:ascii="Times New Roman;serif" w:hAnsi="Times New Roman;serif"/>
          <w:b w:val="false"/>
          <w:color w:val="000000"/>
          <w:sz w:val="20"/>
        </w:rPr>
        <w:t>In the ordinary course of business, the Company and its subsidiaries may be a party to pending and threatened legal, regulatory, and governmental actions and proceedings (including those described below). In view of the inherent difficulty of predicting the outcome of such matters, particularly where the plaintiffs or claimants seek very large or indeterminate damages or where the matters present novel legal theories or involve a large number of parties, the Company generally cannot predict what the eventual outcome of the pending matters will be, what the timing of the ultimate resolution of these matters will be, or what the eventual recovery, loss, fines or penalties related to each pending matter may be. The Company's unaudited condensed consolidated balance sheet as of March 31, 2026 reflects the Company's current best estimate of probable losses associated with these matters, including costs to comply with various settlement agreements, where applicable. For more information regarding the Company’s legal proceedings, refer to Note 18,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in the 2025 Form 10-K.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applicable accounting guidance, the Company accrues a liability when those matters present loss contingencies that are both probable and estimable.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certain litigation and regulatory matters to which the Company is a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AXIOFILL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received a Warning Letter from the FDA on December 21, 2023, relating to the inspections and classification of AXIOFILL. The Company received a determination letter in March 2024 reaffirming the FDA’s position that AXIOFILL does not meet the regulatory classification requirements of a Human Cell, Tissue or Cellular or Tissue-based Product under Section 361 of the Public Health Service Act. The Company strongly disagrees with this determination. On March 25, 2024, MIMEDX filed suit in the U.S. District Court for the Northern District of Georgia alleging violations of the Administrative Procedure Act and asking the Court to vacate FDA’s designation, declare FDA’s designation as arbitrary, capricious, an abuse of discretion, and contrary to law, and declare that AXIOFILL meets the criteria to be regulated under Section 361 of the Public Health Services Act. The parties each filed motions for summary judgment in the case. On September 25, 2025, the court denied both summary judgment motions without prejudice and requested additional briefing, which occurred on January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13.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MIMEDX has two product categories: (1) Surgical, which reflects products principally used in surgical settings, including the closure of acute wounds or to protect and reinforce tissues and/or regions of interest, and (2) Wound, which reflects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typically used in Advanced Wound Care settings, including the treatment of chronic, non-healing wounds. The Company manages its product portfolio and pipeline based upon opportunities in each of these settings.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Below is a summary of net sales by product line (in thousands):</w:t>
      </w:r>
    </w:p>
    <w:tbl>
      <w:tblPr>
        <w:tblW w:w="4002" w:type="dxa"/>
        <w:jc w:val="center"/>
        <w:tblInd w:w="0" w:type="dxa"/>
        <w:tblLayout w:type="fixed"/>
        <w:tblCellMar>
          <w:top w:w="28" w:type="dxa"/>
          <w:left w:w="28" w:type="dxa"/>
          <w:bottom w:w="28" w:type="dxa"/>
          <w:right w:w="28" w:type="dxa"/>
        </w:tblCellMar>
      </w:tblPr>
      <w:tblGrid>
        <w:gridCol w:w="304"/>
        <w:gridCol w:w="267"/>
        <w:gridCol w:w="269"/>
        <w:gridCol w:w="235"/>
        <w:gridCol w:w="803"/>
        <w:gridCol w:w="121"/>
        <w:gridCol w:w="121"/>
        <w:gridCol w:w="121"/>
        <w:gridCol w:w="121"/>
        <w:gridCol w:w="235"/>
        <w:gridCol w:w="803"/>
        <w:gridCol w:w="121"/>
        <w:gridCol w:w="109"/>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Surgical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Wound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have significant foreign operations or a single external customer from which 10% or more of net sales were derived during the three months ended March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0" w:after="180"/>
        <w:jc w:val="both"/>
        <w:rPr/>
      </w:pPr>
      <w:r>
        <w:rPr>
          <w:rFonts w:ascii="Times New Roman;serif" w:hAnsi="Times New Roman;serif"/>
          <w:b w:val="false"/>
          <w:color w:val="000000"/>
          <w:sz w:val="20"/>
        </w:rPr>
        <w:t>The Company determines its operating segments based on how the Chief Operating Decision Maker (“</w:t>
      </w:r>
      <w:r>
        <w:rPr>
          <w:rFonts w:ascii="Times New Roman;serif" w:hAnsi="Times New Roman;serif"/>
          <w:b/>
          <w:i/>
          <w:color w:val="000000"/>
          <w:sz w:val="20"/>
        </w:rPr>
        <w:t>CODM</w:t>
      </w:r>
      <w:r>
        <w:rPr>
          <w:color w:val="000000"/>
        </w:rPr>
        <w:t>”</w:t>
      </w:r>
      <w:r>
        <w:rPr>
          <w:rFonts w:ascii="Times New Roman;serif" w:hAnsi="Times New Roman;serif"/>
          <w:b w:val="false"/>
          <w:color w:val="000000"/>
          <w:sz w:val="20"/>
        </w:rPr>
        <w:t>) reviews the business and makes resource allocation decisions. The Company concluded that Joseph Capper, the Company’s Chief Executive Officer, is the CODM.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single operating segment, which has not been aggregated with other operating segments.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uses several measures of profit or loss to assess Company performance and allocate resources. Of these measures, net income is the measure that most aligns to GAAP. Other measures used by the CODM include adjusted earnings before interest, taxes, depreciation and amortization. The CODM assesses actual results against budgets and forecasts, and uses this information to inform various strategic investments into the Company’s operations, including headcount and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financial statement caption included on the condensed consolidated statements of operations reflects a significant segment expense evaluated by the CODM. In addition to this, the CODM also evaluates selling and marketing expense and general and administrative expense, both of which are components of selling, general, and administrative expense on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below table presents selling and marketing and general administrative expense (amounts in thousands): </w:t>
      </w:r>
    </w:p>
    <w:tbl>
      <w:tblPr>
        <w:tblW w:w="6443" w:type="dxa"/>
        <w:jc w:val="left"/>
        <w:tblInd w:w="0" w:type="dxa"/>
        <w:tblLayout w:type="fixed"/>
        <w:tblCellMar>
          <w:top w:w="28" w:type="dxa"/>
          <w:left w:w="28" w:type="dxa"/>
          <w:bottom w:w="28" w:type="dxa"/>
          <w:right w:w="28" w:type="dxa"/>
        </w:tblCellMar>
      </w:tblPr>
      <w:tblGrid>
        <w:gridCol w:w="1068"/>
        <w:gridCol w:w="940"/>
        <w:gridCol w:w="946"/>
        <w:gridCol w:w="109"/>
        <w:gridCol w:w="109"/>
        <w:gridCol w:w="109"/>
        <w:gridCol w:w="235"/>
        <w:gridCol w:w="803"/>
        <w:gridCol w:w="121"/>
        <w:gridCol w:w="121"/>
        <w:gridCol w:w="121"/>
        <w:gridCol w:w="121"/>
        <w:gridCol w:w="235"/>
        <w:gridCol w:w="803"/>
        <w:gridCol w:w="121"/>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Below is a breakout of interest expense and interest income (amounts in thousands):</w:t>
      </w:r>
    </w:p>
    <w:tbl>
      <w:tblPr>
        <w:tblW w:w="5257" w:type="dxa"/>
        <w:jc w:val="center"/>
        <w:tblInd w:w="0" w:type="dxa"/>
        <w:tblLayout w:type="fixed"/>
        <w:tblCellMar>
          <w:top w:w="28" w:type="dxa"/>
          <w:left w:w="28" w:type="dxa"/>
          <w:bottom w:w="28" w:type="dxa"/>
          <w:right w:w="28" w:type="dxa"/>
        </w:tblCellMar>
      </w:tblPr>
      <w:tblGrid>
        <w:gridCol w:w="641"/>
        <w:gridCol w:w="562"/>
        <w:gridCol w:w="567"/>
        <w:gridCol w:w="109"/>
        <w:gridCol w:w="109"/>
        <w:gridCol w:w="109"/>
        <w:gridCol w:w="276"/>
        <w:gridCol w:w="807"/>
        <w:gridCol w:w="142"/>
        <w:gridCol w:w="142"/>
        <w:gridCol w:w="142"/>
        <w:gridCol w:w="142"/>
        <w:gridCol w:w="276"/>
        <w:gridCol w:w="610"/>
        <w:gridCol w:w="142"/>
        <w:gridCol w:w="109"/>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 xml:space="preserve">To see depreciation expense, amortization expense, income tax expense, and significant noncash items for this segment please refer to Note 5, </w:t>
      </w:r>
      <w:r>
        <w:rPr>
          <w:rFonts w:ascii="Times New Roman;serif" w:hAnsi="Times New Roman;serif"/>
          <w:b w:val="false"/>
          <w:i/>
          <w:color w:val="000000"/>
          <w:sz w:val="20"/>
        </w:rPr>
        <w:t>Property and Equipment, Net</w:t>
      </w:r>
      <w:r>
        <w:rPr>
          <w:rFonts w:ascii="Times New Roman;serif" w:hAnsi="Times New Roman;serif"/>
          <w:b w:val="false"/>
          <w:color w:val="000000"/>
          <w:sz w:val="20"/>
        </w:rPr>
        <w:t xml:space="preserve">, Note 6, </w:t>
      </w:r>
      <w:r>
        <w:rPr>
          <w:rFonts w:ascii="Times New Roman;serif" w:hAnsi="Times New Roman;serif"/>
          <w:b w:val="false"/>
          <w:i/>
          <w:color w:val="000000"/>
          <w:sz w:val="20"/>
        </w:rPr>
        <w:t>Intangible Assets, Net</w:t>
      </w:r>
      <w:r>
        <w:rPr>
          <w:rFonts w:ascii="Times New Roman;serif" w:hAnsi="Times New Roman;serif"/>
          <w:b w:val="false"/>
          <w:color w:val="000000"/>
          <w:sz w:val="20"/>
        </w:rPr>
        <w:t xml:space="preserve">, Note 10, </w:t>
      </w:r>
      <w:r>
        <w:rPr>
          <w:rFonts w:ascii="Times New Roman;serif" w:hAnsi="Times New Roman;serif"/>
          <w:b w:val="false"/>
          <w:i/>
          <w:color w:val="000000"/>
          <w:sz w:val="20"/>
        </w:rPr>
        <w:t>Income Taxes</w:t>
      </w:r>
      <w:r>
        <w:rPr>
          <w:rFonts w:ascii="Times New Roman;serif" w:hAnsi="Times New Roman;serif"/>
          <w:b w:val="false"/>
          <w:color w:val="000000"/>
          <w:sz w:val="20"/>
        </w:rPr>
        <w:t xml:space="preserve">, Note 11, </w:t>
      </w:r>
      <w:r>
        <w:rPr>
          <w:rFonts w:ascii="Times New Roman;serif" w:hAnsi="Times New Roman;serif"/>
          <w:b w:val="false"/>
          <w:i/>
          <w:color w:val="000000"/>
          <w:sz w:val="20"/>
        </w:rPr>
        <w:t>Supplemental Disclosure of Cash Flow and Non-cash Investing and Financing Activities</w:t>
      </w:r>
      <w:r>
        <w:rPr>
          <w:rFonts w:ascii="Times New Roman;serif" w:hAnsi="Times New Roman;serif"/>
          <w:b w:val="false"/>
          <w:color w:val="000000"/>
          <w:sz w:val="20"/>
        </w:rPr>
        <w:t xml:space="preserve">,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is not provided and does not review segment assets at a different asset level or category than the presentation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15.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Vaporox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pPr>
      <w:r>
        <w:rPr>
          <w:rFonts w:ascii="Times New Roman;serif" w:hAnsi="Times New Roman;serif"/>
          <w:b w:val="false"/>
          <w:color w:val="000000"/>
          <w:sz w:val="20"/>
        </w:rPr>
        <w:t>Late in the second quarter of 2025, the Company entered into a Convertible Note Purchase Agreement (the “</w:t>
      </w:r>
      <w:r>
        <w:rPr>
          <w:rFonts w:ascii="Times New Roman;serif" w:hAnsi="Times New Roman;serif"/>
          <w:b/>
          <w:i/>
          <w:color w:val="000000"/>
          <w:sz w:val="20"/>
        </w:rPr>
        <w:t>Vaporox Note</w:t>
      </w:r>
      <w:r>
        <w:rPr>
          <w:color w:val="000000"/>
        </w:rPr>
        <w:t>”</w:t>
      </w:r>
      <w:r>
        <w:rPr>
          <w:rFonts w:ascii="Times New Roman;serif" w:hAnsi="Times New Roman;serif"/>
          <w:b w:val="false"/>
          <w:color w:val="000000"/>
          <w:sz w:val="20"/>
        </w:rPr>
        <w:t>) with Vaporox, Inc.(“</w:t>
      </w:r>
      <w:r>
        <w:rPr>
          <w:rFonts w:ascii="Times New Roman;serif" w:hAnsi="Times New Roman;serif"/>
          <w:b/>
          <w:i/>
          <w:color w:val="000000"/>
          <w:sz w:val="20"/>
        </w:rPr>
        <w:t>Vaporox</w:t>
      </w:r>
      <w:r>
        <w:rPr>
          <w:color w:val="000000"/>
        </w:rPr>
        <w:t>”</w:t>
      </w:r>
      <w:r>
        <w:rPr>
          <w:rFonts w:ascii="Times New Roman;serif" w:hAnsi="Times New Roman;serif"/>
          <w:b w:val="false"/>
          <w:color w:val="000000"/>
          <w:sz w:val="20"/>
        </w:rPr>
        <w:t xml:space="preserve">) for $2.0 million. The note matures in the second quarter of 2028, and contains certain contingent conversion features upon the occurrence of specified events. The Vaporox Note was funded early in the third quarter of 2025. </w:t>
      </w:r>
    </w:p>
    <w:p>
      <w:pPr>
        <w:pStyle w:val="TextBody"/>
        <w:bidi w:val="0"/>
        <w:spacing w:lineRule="auto" w:line="288" w:before="0" w:after="200"/>
        <w:jc w:val="both"/>
        <w:rPr/>
      </w:pPr>
      <w:r>
        <w:rPr>
          <w:rFonts w:ascii="Times New Roman;serif" w:hAnsi="Times New Roman;serif"/>
          <w:b w:val="false"/>
          <w:color w:val="000000"/>
          <w:sz w:val="20"/>
        </w:rPr>
        <w:t>The Company elected to account for the Vaporox Note pursuant to the Fair Value Option guidance prescribed by Accounting Standards Codification (“</w:t>
      </w:r>
      <w:r>
        <w:rPr>
          <w:rFonts w:ascii="Times New Roman;serif" w:hAnsi="Times New Roman;serif"/>
          <w:b/>
          <w:i/>
          <w:color w:val="000000"/>
          <w:sz w:val="20"/>
        </w:rPr>
        <w:t>ASC</w:t>
      </w:r>
      <w:r>
        <w:rPr>
          <w:color w:val="000000"/>
        </w:rPr>
        <w:t>”</w:t>
      </w:r>
      <w:r>
        <w:rPr>
          <w:rFonts w:ascii="Times New Roman;serif" w:hAnsi="Times New Roman;serif"/>
          <w:b w:val="false"/>
          <w:color w:val="000000"/>
          <w:sz w:val="20"/>
        </w:rPr>
        <w:t>) Topic 825. Management chose this optional guidance for ease of calculation. This requires the Company to measure the Fair Value of the Vaporox Note, in its entirety, at each reporting date. As a result of electing the fair value option, direct costs and fees related to the Vaporox Note are expensed as incurred.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March 31, 2026, the fair value of the note was $2.1 million, and was estimated using relevant valuation techniques and a series of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Regen Lab</w:t>
      </w:r>
    </w:p>
    <w:p>
      <w:pPr>
        <w:pStyle w:val="TextBody"/>
        <w:bidi w:val="0"/>
        <w:spacing w:lineRule="auto" w:line="288" w:before="0" w:after="180"/>
        <w:jc w:val="both"/>
        <w:rPr/>
      </w:pPr>
      <w:r>
        <w:rPr>
          <w:rFonts w:ascii="Times New Roman;serif" w:hAnsi="Times New Roman;serif"/>
          <w:b w:val="false"/>
          <w:color w:val="000000"/>
          <w:sz w:val="20"/>
        </w:rPr>
        <w:t>In December 2025, MiMedx entered into a Distributorship Agreement (the “</w:t>
      </w:r>
      <w:r>
        <w:rPr>
          <w:rFonts w:ascii="Times New Roman;serif" w:hAnsi="Times New Roman;serif"/>
          <w:b/>
          <w:i/>
          <w:color w:val="000000"/>
          <w:sz w:val="20"/>
        </w:rPr>
        <w:t>Regen Agreement</w:t>
      </w:r>
      <w:r>
        <w:rPr>
          <w:color w:val="000000"/>
        </w:rPr>
        <w:t>”</w:t>
      </w:r>
      <w:r>
        <w:rPr>
          <w:rFonts w:ascii="Times New Roman;serif" w:hAnsi="Times New Roman;serif"/>
          <w:b w:val="false"/>
          <w:color w:val="000000"/>
          <w:sz w:val="20"/>
        </w:rPr>
        <w:t>) with Regen Lab USA LLC (“</w:t>
      </w:r>
      <w:r>
        <w:rPr>
          <w:rFonts w:ascii="Times New Roman;serif" w:hAnsi="Times New Roman;serif"/>
          <w:b/>
          <w:i/>
          <w:color w:val="000000"/>
          <w:sz w:val="20"/>
        </w:rPr>
        <w:t>Regen Lab</w:t>
      </w:r>
      <w:r>
        <w:rPr>
          <w:color w:val="000000"/>
        </w:rPr>
        <w:t>”</w:t>
      </w:r>
      <w:r>
        <w:rPr>
          <w:rFonts w:ascii="Times New Roman;serif" w:hAnsi="Times New Roman;serif"/>
          <w:b w:val="false"/>
          <w:color w:val="000000"/>
          <w:sz w:val="20"/>
        </w:rPr>
        <w:t xml:space="preserve">), which provides the Company with the exclusive right to distribute their RegenKit®-Wound Gel in the United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Regen Agreement was accounted for as an acquisition of assets. All costs of acquisition were allocated to the distributorship agreement and is reflected as a component of intangible assets, net, in the unaudited condensed consolidated balance sheet as of March 31,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satisfaction of the obligation created by the Regen Agreement, the Company paid Regen Lab an up-front payment of $5.0 million during January 2026. In addition, the Company may be required to pay up to an additional $5.0 million in contingent consideration upon achievement of cumulative revenue milestones specified in the Regen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erif" w:hAnsi="Times New Roman;serif"/>
          <w:b/>
          <w:color w:val="000000"/>
          <w:sz w:val="20"/>
        </w:rPr>
        <w:t xml:space="preserve">16. </w:t>
      </w:r>
      <w:r>
        <w:rPr>
          <w:rFonts w:ascii="Times New Roman;serif" w:hAnsi="Times New Roman;serif"/>
          <w:b/>
          <w:color w:val="000000"/>
          <w:sz w:val="20"/>
          <w:shd w:fill="FFFFFF" w:val="clear"/>
        </w:rPr>
        <w:t>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Reduction Initiative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the Company announced a cost reduction initiative intended to streamline operations and reduce operating expenses in response to a slower</w:t>
        <w:noBreakHyphen/>
        <w:t>than</w:t>
        <w:noBreakHyphen/>
        <w:t>expected recovery in the Wound Care market following the implementation of the January 1, 2026 Medicare reimbursement changes. These actions included a reduction in force affecting approximately 15% of the Company’s workforce. The Company expects to incur one-time expenses of approximately $4 million during the second quarter of 2026 related to these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Town Park Lease Amendment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April 2026, the Company amended its lease agreement related to one of its manufacturing facilities in Kennesaw, Georgia. The amendment provides for additional space and extends the existing lease term by 11 years through January 2038. Over the extended term of the lease, the Company will pay $9.8 million in rent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delivered the following financial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Net sales of $59 million, reflecting a 33% decrease over the prior year period. which was comprised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Surgical net sales of $36 million, reflecting an increase of 13% compared to the prior year period;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Wound net sales of $23 million, reflecting a decrease of 60% compared to the prior year period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GAAP net loss and net loss margin for the first quarter of 2026 of $11 million and 18%,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GAAP fully diluted earnings per share for the first quarter of 2026 of $(0.07) compared to $0.05 in the prior year period.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balance of $160 million, representing a $6 million decrease sequentially and a $53 million increase compared to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during the quarter, the Company launched two new organically developed products, AMNIOFIX® Thyroid Shields and CHORIOFIX™ and entered into an exclusive distribution agreement with Summit Products Group for multiple additional Surgical products, namely G4Derm® Plus, Hydrelix Collagen Matrix and Novaform®.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jc w:val="both"/>
        <w:rPr/>
      </w:pPr>
      <w:r>
        <w:rPr>
          <w:rFonts w:ascii="Times New Roman;serif" w:hAnsi="Times New Roman;serif"/>
          <w:b w:val="false"/>
          <w:color w:val="000000"/>
          <w:sz w:val="20"/>
        </w:rPr>
        <w:t>MIMEDX is a pioneer and leader focused on helping humans heal. The Company has more than a decade and a half of experience developing and commercializing products used in the treatment of a wide range of Surgical and Wound management applications. All of our products sold in the United States are regulated by the U.S. Food &amp; Drug Administration (“</w:t>
      </w:r>
      <w:r>
        <w:rPr>
          <w:rFonts w:ascii="Times New Roman;serif" w:hAnsi="Times New Roman;serif"/>
          <w:b/>
          <w:i/>
          <w:color w:val="000000"/>
          <w:sz w:val="20"/>
        </w:rPr>
        <w:t>FDA</w:t>
      </w:r>
      <w:r>
        <w:rPr>
          <w:color w:val="000000"/>
        </w:rPr>
        <w:t>”</w:t>
      </w:r>
      <w:r>
        <w:rPr>
          <w:rFonts w:ascii="Times New Roman;serif" w:hAnsi="Times New Roman;serif"/>
          <w:b w:val="false"/>
          <w:color w:val="000000"/>
          <w:sz w:val="20"/>
        </w:rPr>
        <w:t>). We apply Current Good Tissue Practices (“</w:t>
      </w:r>
      <w:r>
        <w:rPr>
          <w:rFonts w:ascii="Times New Roman;serif" w:hAnsi="Times New Roman;serif"/>
          <w:b/>
          <w:i/>
          <w:color w:val="000000"/>
          <w:sz w:val="20"/>
        </w:rPr>
        <w:t>CGTP</w:t>
      </w:r>
      <w:r>
        <w:rPr>
          <w:color w:val="000000"/>
        </w:rPr>
        <w:t>”</w:t>
      </w:r>
      <w:r>
        <w:rPr>
          <w:rFonts w:ascii="Times New Roman;serif" w:hAnsi="Times New Roman;serif"/>
          <w:b w:val="false"/>
          <w:color w:val="000000"/>
          <w:sz w:val="20"/>
        </w:rPr>
        <w:t>) and other applicable quality standards in addition to terminal sterilization to produce our allografts.</w:t>
      </w:r>
    </w:p>
    <w:p>
      <w:pPr>
        <w:pStyle w:val="TextBody"/>
        <w:bidi w:val="0"/>
        <w:spacing w:lineRule="auto" w:line="288" w:before="0" w:after="180"/>
        <w:jc w:val="both"/>
        <w:rPr/>
      </w:pPr>
      <w:r>
        <w:rPr>
          <w:rFonts w:ascii="Times New Roman;serif" w:hAnsi="Times New Roman;serif"/>
          <w:b w:val="false"/>
          <w:color w:val="000000"/>
          <w:sz w:val="20"/>
        </w:rPr>
        <w:t>This discussion, which presents our results for the three months ended March 31, 2026 and 2025, should be read in conjunction with the unaudited condensed consolidated financial statements and accompanying notes included in this Form 10-Q and the financial statements and accompanying notes and Management’s Discussion and Analysis of Financial Condition and Results of Operations included in our Annual Report on Form 10-K for the fiscal year ended December 31, 2025 filed with the SEC on February 25, 2026 (the “</w:t>
      </w:r>
      <w:r>
        <w:rPr>
          <w:rFonts w:ascii="Times New Roman;serif" w:hAnsi="Times New Roman;serif"/>
          <w:b/>
          <w:i/>
          <w:color w:val="000000"/>
          <w:sz w:val="20"/>
        </w:rPr>
        <w:t>2025 Form 10-K</w:t>
      </w:r>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Three Months Ended March 31, 2026 Compared to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453" w:type="dxa"/>
        <w:jc w:val="center"/>
        <w:tblInd w:w="0" w:type="dxa"/>
        <w:tblLayout w:type="fixed"/>
        <w:tblCellMar>
          <w:top w:w="28" w:type="dxa"/>
          <w:left w:w="28" w:type="dxa"/>
          <w:bottom w:w="28" w:type="dxa"/>
          <w:right w:w="28" w:type="dxa"/>
        </w:tblCellMar>
      </w:tblPr>
      <w:tblGrid>
        <w:gridCol w:w="1626"/>
        <w:gridCol w:w="1076"/>
        <w:gridCol w:w="1093"/>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344"/>
        <w:gridCol w:w="346"/>
        <w:gridCol w:w="526"/>
        <w:gridCol w:w="109"/>
        <w:gridCol w:w="154"/>
      </w:tblGrid>
      <w:tr>
        <w:trPr/>
        <w:tc>
          <w:tcPr>
            <w:tcW w:w="162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noted as “nm” in the table above indicate that the percentage change is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center"/>
        <w:rPr/>
      </w:pPr>
      <w:r>
        <w:rPr/>
      </w:r>
    </w:p>
    <w:p>
      <w:pPr>
        <w:pStyle w:val="TextBody"/>
        <w:bidi w:val="0"/>
        <w:spacing w:before="0" w:after="180"/>
        <w:jc w:val="both"/>
        <w:rPr/>
      </w:pPr>
      <w:r>
        <w:rPr/>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were $59.0 million for the three months ended March 31, 2026, representing a decrease of $29.2 million, or 33.1%, compared to $88.2 million for the three months ended March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by product category were as follows (amounts in thousands):</w:t>
      </w:r>
    </w:p>
    <w:tbl>
      <w:tblPr>
        <w:tblW w:w="7129" w:type="dxa"/>
        <w:jc w:val="center"/>
        <w:tblInd w:w="0" w:type="dxa"/>
        <w:tblLayout w:type="fixed"/>
        <w:tblCellMar>
          <w:top w:w="28" w:type="dxa"/>
          <w:left w:w="28" w:type="dxa"/>
          <w:bottom w:w="28" w:type="dxa"/>
          <w:right w:w="28" w:type="dxa"/>
        </w:tblCellMar>
      </w:tblPr>
      <w:tblGrid>
        <w:gridCol w:w="288"/>
        <w:gridCol w:w="253"/>
        <w:gridCol w:w="255"/>
        <w:gridCol w:w="235"/>
        <w:gridCol w:w="803"/>
        <w:gridCol w:w="121"/>
        <w:gridCol w:w="121"/>
        <w:gridCol w:w="121"/>
        <w:gridCol w:w="121"/>
        <w:gridCol w:w="235"/>
        <w:gridCol w:w="803"/>
        <w:gridCol w:w="121"/>
        <w:gridCol w:w="109"/>
        <w:gridCol w:w="109"/>
        <w:gridCol w:w="109"/>
        <w:gridCol w:w="211"/>
        <w:gridCol w:w="796"/>
        <w:gridCol w:w="109"/>
        <w:gridCol w:w="109"/>
        <w:gridCol w:w="109"/>
        <w:gridCol w:w="109"/>
        <w:gridCol w:w="291"/>
        <w:gridCol w:w="294"/>
        <w:gridCol w:w="271"/>
        <w:gridCol w:w="109"/>
        <w:gridCol w:w="109"/>
        <w:gridCol w:w="109"/>
        <w:gridCol w:w="109"/>
        <w:gridCol w:w="109"/>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Surgical</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Wound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Surgical net sales were $36.4 million for the three months ended March 31, 2026, representing an increase of $4.2 million, or 13.2%, compared to $32.1 million for the three months ended March 31, 2025. This increase was driven by continued growth across the AMNIOFIX®, AMNIOEFFECT®, AXIOFILL®, and HELIOGEN™ product lines as adoption expanded across multiple surgical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Wound net sales were $22.6 million for the three months ended March 31, 2026, representing a decrease of $33.5 million or 59.7%, compared to $56.1 million for the three months ended March 31, 2025. This decline was primarily driven by the Medicare reimbursement changes that went into effect on January 1, 2026, which resulted in reduced reimbursement rates for skin substitute products, created administrative barriers for patients to receive these products and led to lower realized pricing and volumes within the Wound Care business. During the quarter, the Company also saw initial contributions from sales of its RegenKit PRP offering.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Sales and Gross Profit Margin</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were $17.4 million for the three months ended March 31, 2026, representing an increase of $0.8 million, or 4.9%. compared to $16.6 million for the three months ended March 31, 2025. This increase was driven by higher production cost and increased volume in the Surgical business, largely offset by lower volume in the Wound Care business and reduced amortization of acquired intangible assets. </w:t>
      </w:r>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Gross profit margin was 70.6% for the three months ended March 31, 2026, compared to 81.2% for the three months ended March 31, 2025. This decline was primarily driven by lower Wound Care pricing following the Medicare reimbursement changes, as well as unfavorable product mix and higher costs.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0" w:after="180"/>
        <w:jc w:val="both"/>
        <w:rPr/>
      </w:pPr>
      <w:r>
        <w:rPr>
          <w:rFonts w:ascii="Times New Roman;serif" w:hAnsi="Times New Roman;serif"/>
          <w:b w:val="false"/>
          <w:color w:val="000000"/>
          <w:sz w:val="20"/>
        </w:rPr>
        <w:t>Selling, general and administrative (“</w:t>
      </w:r>
      <w:r>
        <w:rPr>
          <w:rFonts w:ascii="Times New Roman;serif" w:hAnsi="Times New Roman;serif"/>
          <w:b/>
          <w:i/>
          <w:color w:val="000000"/>
          <w:sz w:val="20"/>
        </w:rPr>
        <w:t>SG&amp;A</w:t>
      </w:r>
      <w:r>
        <w:rPr>
          <w:color w:val="000000"/>
        </w:rPr>
        <w:t>”</w:t>
      </w:r>
      <w:r>
        <w:rPr>
          <w:rFonts w:ascii="Times New Roman;serif" w:hAnsi="Times New Roman;serif"/>
          <w:b w:val="false"/>
          <w:color w:val="000000"/>
          <w:sz w:val="20"/>
        </w:rPr>
        <w:t>) expense was $53.2 million for the three months ended March 31, 2026, compared to $60.0 million for the three months ended March 31, 2025. The following table shows the composition of this expense between selling and marketing (“</w:t>
      </w:r>
      <w:r>
        <w:rPr>
          <w:rFonts w:ascii="Times New Roman;serif" w:hAnsi="Times New Roman;serif"/>
          <w:b/>
          <w:i/>
          <w:color w:val="000000"/>
          <w:sz w:val="20"/>
        </w:rPr>
        <w:t>S&amp;M</w:t>
      </w:r>
      <w:r>
        <w:rPr>
          <w:color w:val="000000"/>
        </w:rPr>
        <w:t>”</w:t>
      </w:r>
      <w:r>
        <w:rPr>
          <w:rFonts w:ascii="Times New Roman;serif" w:hAnsi="Times New Roman;serif"/>
          <w:b w:val="false"/>
          <w:color w:val="000000"/>
          <w:sz w:val="20"/>
        </w:rPr>
        <w:t>) and general and administrative (“</w:t>
      </w:r>
      <w:r>
        <w:rPr>
          <w:rFonts w:ascii="Times New Roman;serif" w:hAnsi="Times New Roman;serif"/>
          <w:b/>
          <w:i/>
          <w:color w:val="000000"/>
          <w:sz w:val="20"/>
        </w:rPr>
        <w:t>G&amp;A</w:t>
      </w:r>
      <w:r>
        <w:rPr>
          <w:color w:val="000000"/>
        </w:rPr>
        <w:t>”</w:t>
      </w:r>
      <w:r>
        <w:rPr>
          <w:rFonts w:ascii="Times New Roman;serif" w:hAnsi="Times New Roman;serif"/>
          <w:b w:val="false"/>
          <w:color w:val="000000"/>
          <w:sz w:val="20"/>
        </w:rPr>
        <w:t>) components (amounts in thousands):</w:t>
      </w:r>
    </w:p>
    <w:tbl>
      <w:tblPr>
        <w:tblW w:w="8855" w:type="dxa"/>
        <w:jc w:val="left"/>
        <w:tblInd w:w="0" w:type="dxa"/>
        <w:tblLayout w:type="fixed"/>
        <w:tblCellMar>
          <w:top w:w="28" w:type="dxa"/>
          <w:left w:w="28" w:type="dxa"/>
          <w:bottom w:w="28" w:type="dxa"/>
          <w:right w:w="28" w:type="dxa"/>
        </w:tblCellMar>
      </w:tblPr>
      <w:tblGrid>
        <w:gridCol w:w="1068"/>
        <w:gridCol w:w="940"/>
        <w:gridCol w:w="946"/>
        <w:gridCol w:w="109"/>
        <w:gridCol w:w="109"/>
        <w:gridCol w:w="109"/>
        <w:gridCol w:w="235"/>
        <w:gridCol w:w="803"/>
        <w:gridCol w:w="121"/>
        <w:gridCol w:w="121"/>
        <w:gridCol w:w="121"/>
        <w:gridCol w:w="121"/>
        <w:gridCol w:w="235"/>
        <w:gridCol w:w="803"/>
        <w:gridCol w:w="121"/>
        <w:gridCol w:w="109"/>
        <w:gridCol w:w="109"/>
        <w:gridCol w:w="109"/>
        <w:gridCol w:w="211"/>
        <w:gridCol w:w="691"/>
        <w:gridCol w:w="109"/>
        <w:gridCol w:w="109"/>
        <w:gridCol w:w="109"/>
        <w:gridCol w:w="109"/>
        <w:gridCol w:w="291"/>
        <w:gridCol w:w="294"/>
        <w:gridCol w:w="271"/>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$2.9 million or 6.3%, year over year, primarily driven by lower commission expense resulting from reduced sales and lower travel and meeting expenses. This decrease was partially offset by higher bad debt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$3.8 million or 28.9% year over year, due to the reduction of compensation-related costs, primarily related to the reversal of stock-based compensation expense associated with outstanding performance stock unit awards. These savings were largely offset by increased legal and regulatory expenses, including cost associated with the ongoing litigation with certain competitors and certain former employees.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76" w:before="0" w:after="0"/>
        <w:jc w:val="both"/>
        <w:rPr/>
      </w:pPr>
      <w:r>
        <w:rPr>
          <w:rFonts w:ascii="Times New Roman;serif" w:hAnsi="Times New Roman;serif"/>
          <w:b w:val="false"/>
          <w:color w:val="000000"/>
          <w:sz w:val="20"/>
        </w:rPr>
        <w:t>Research and development (“</w:t>
      </w:r>
      <w:r>
        <w:rPr>
          <w:rFonts w:ascii="Times New Roman;serif" w:hAnsi="Times New Roman;serif"/>
          <w:b/>
          <w:i/>
          <w:color w:val="000000"/>
          <w:sz w:val="20"/>
        </w:rPr>
        <w:t>R&amp;D</w:t>
      </w:r>
      <w:r>
        <w:rPr>
          <w:color w:val="000000"/>
        </w:rPr>
        <w:t>”</w:t>
      </w:r>
      <w:r>
        <w:rPr>
          <w:rFonts w:ascii="Times New Roman;serif" w:hAnsi="Times New Roman;serif"/>
          <w:b w:val="false"/>
          <w:color w:val="000000"/>
          <w:sz w:val="20"/>
        </w:rPr>
        <w:t>) expense was $4.1 million for the three months ended March 31, 2026, representing an increase of $0.8 million, or 24.4%, compared to $3.3 million for the three months ended March 31, 2025. This increase was driven by higher costs associated with the ongoing EPIEFFECT randomized clinical trial, as well as continued investment in the development of future products within the Company’s pipeline.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Interest Income, Net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Interest income, net was $0.9 million for the three months ended March 31, 2026, representing an increase of $0.4 million or 75.1% compared to $0.5 million for the three months ended March 31, 2025. This increase was primarily driven by higher average cash balances maintained in the Company’s interest-bearing accounts and a reduction in outstanding debt.</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Income Tax Provision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Company were 29.2% and 18.5% for the three months ended March 31, 2026 and March 31, 2025,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the effective tax rate for the three months ended March 31, 2026 was primarily due to the timing of stock-based compensation adjustments, partially offset by limits on the deductibility of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Discussion of Cash Flows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generated by operating activities was $1.9 million during the three months ended March 31, 2026, representing a decrease of $3.4 million, compared to $5.3 million for the three months ended March 31, 2025. This decrease was primarily driven by lower net income, partially offset by significant accounts receivable collections.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Cash used for investing activities was $5.6 million during the three months ended March 31, 2026, compared to $0.4 million for the three months ended March 31, 2025. This increase reflects a $5.0 million payment to acquire exclusive distribution rights for RegenKit®</w:t>
        <w:noBreakHyphen/>
        <w:t xml:space="preserve">Wound Gel.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for financing activities was $2.6 million during the three months ended March 31, 2026, compared to $2.9 million for the three months ended March 31, 2025. Cash used during both periods was primarily driven by stock repurchases to satisfy tax withholding obligations upon vesting of employee equity awards, a principal payment under the Citizens Credit Agreement, and a profit-share payment to TELA Bio, Inc. related to HELIOGEN® sales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We require capital for our operating activities, including costs associated with the sale of product through direct and indirect sales channels, research and development activities, compliance costs, costs to sell and market our products, regulatory fees, and legal and consulting fees in connection with ongoing litigation and other matters. We generally fund our operating capital requirements through our operating activities and cash reserves. We expect to use capital to invest in the broadening of our product portfolio, including through potential acquisitions, licensing agreements or other arrangements, the international expansion of our business and certain capital projects.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$159.8 million of cash and cash equivalents, total current assets of $240.3 million and total current liabilities of $44.6 million. We had $17.6 million of long term debt outstanding and $75.0 million of availability under our Revolving Credit Facility (as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is currently paying its obligations in the ordinary course of business. We believe that our cash from operating activities, existing cash and cash equivalents, and available credit under the Citizens Credit Agreement, as defined below, will enable us to meet our operational liquidity needs for the twelve months following the filing date of this Quarterly Report.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Citizens Credit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19, 2024, the Company entered into the Citizens Credit Agreement, which provided the Company with a $75.0 million Revolving Credit Facility and $20.0 million Term Loan Facility. We had no outstanding borrowings under the Revolving Credit Facility facility as of March 31, 2026. The Term Loan Facility matures on January 19, 2029.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Citizens Credit Agreement requires that we comply with certain financial covenants, including a maximum total net leverage ratio and a minimum consolidated fixed charge coverage ratio, as well as other customary restrictive covenants.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has $17.6 million of principal outstanding on the Term Loan Facility that bears interest at 6.0% and no borrowings outstanding under the Revolving Credit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0" w:after="180"/>
        <w:jc w:val="both"/>
        <w:rPr/>
      </w:pPr>
      <w:r>
        <w:rPr>
          <w:rFonts w:ascii="Times New Roman;serif" w:hAnsi="Times New Roman;serif"/>
          <w:b w:val="false"/>
          <w:color w:val="000000"/>
          <w:sz w:val="20"/>
        </w:rPr>
        <w:t>There were no significant changes to our contractual obligations during the three months ended March 31, 2026 from those disclosed in the section Item 7, “</w:t>
      </w:r>
      <w:r>
        <w:rPr>
          <w:rFonts w:ascii="Times New Roman;serif" w:hAnsi="Times New Roman;serif"/>
          <w:b w:val="false"/>
          <w:i/>
          <w:color w:val="000000"/>
          <w:sz w:val="20"/>
        </w:rPr>
        <w:t>Management’s Discussion and Analysis of Financial Condition and Results from Operations</w:t>
      </w:r>
      <w:r>
        <w:rPr>
          <w:color w:val="000000"/>
        </w:rPr>
        <w:t>”</w:t>
      </w:r>
      <w:r>
        <w:rPr>
          <w:rFonts w:ascii="Times New Roman;serif" w:hAnsi="Times New Roman;serif"/>
          <w:b w:val="false"/>
          <w:color w:val="000000"/>
          <w:sz w:val="20"/>
        </w:rPr>
        <w:t>,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In preparing financial statements, we follow accounting principles generally accepted in the United States, which require us to make certain estimates and apply judgments that affect our financial position and results of operations. We regularly review our accounting policies and financial information disclosures. A summary of critical accounting estimates in preparing the financial statements was provided in our Annual Report in the 2025 Form 10-K. There were no new critical accounting estimates applied in the preparation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180"/>
        <w:jc w:val="both"/>
        <w:rPr/>
      </w:pPr>
      <w:r>
        <w:rPr>
          <w:rFonts w:ascii="Times New Roman;serif" w:hAnsi="Times New Roman;serif"/>
          <w:b w:val="false"/>
          <w:color w:val="000000"/>
          <w:sz w:val="20"/>
        </w:rPr>
        <w:t>For the effect of recent accounting pronouncements, see Note 2,</w:t>
      </w:r>
      <w:r>
        <w:rPr>
          <w:color w:val="000000"/>
        </w:rPr>
        <w:t xml:space="preserve"> </w:t>
      </w:r>
      <w:r>
        <w:rPr>
          <w:rFonts w:ascii="Times New Roman;serif" w:hAnsi="Times New Roman;serif"/>
          <w:b w:val="false"/>
          <w:i/>
          <w:color w:val="000000"/>
          <w:sz w:val="20"/>
        </w:rPr>
        <w:t>Significant Accounting Policies</w:t>
      </w:r>
      <w:r>
        <w:rPr>
          <w:rFonts w:ascii="Times New Roman;serif" w:hAnsi="Times New Roman;serif"/>
          <w:b w:val="false"/>
          <w:color w:val="000000"/>
          <w:sz w:val="20"/>
        </w:rPr>
        <w:t>, to the unaudited condensed consolidated financial statements contained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risks associated with changes in interest rates that could adversely affect our results of operations and financial condition. We do not hedge against interest rate risk.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“Item 7A. Quantitative and Qualitative Disclosures about Market Risk”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and 15d-15(e) of the Securities Exchange Act of 1934, as amended, or the Exchange Act) as of the end of the period covered by this report. Based on that evaluation, our Chief Executive Officer and Chief Financial Officer concluded that our disclosure controls and procedures as of the end of the period covered by this report were effective at a reasonable assurance level in ensuring that information required to be disclosed by us in reports that we file or submit under the Exchange Act (i) is recorded, processed, summarized and reported within the time periods specified in the SEC’s rules and forms and (ii) accumulated and communicated to management, including our Chief Executive Officer and Chief Financial Officer, as appropriate, to allow timely discussions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 13a-15(f) and 15d-15(f) of the Exchange Act) that occurred during the fiscal quarter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are parties to numerous claims and lawsuits arising in the ordinary course of its business activities, some of which involve claims for substantial amounts. The ultimate outcome of these suits cannot be ascertained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There have been no material changes to the Company’s risk factors included in the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both"/>
        <w:rPr>
          <w:rFonts w:ascii="Times New Roman;serif" w:hAnsi="Times New Roman;serif"/>
          <w:b w:val="false"/>
          <w:color w:val="333333"/>
          <w:sz w:val="20"/>
        </w:rPr>
      </w:pPr>
      <w:r>
        <w:rPr>
          <w:rFonts w:ascii="Times New Roman;serif" w:hAnsi="Times New Roman;serif"/>
          <w:b w:val="false"/>
          <w:color w:val="333333"/>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Insider Trading Arrangements and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9581" w:type="dxa"/>
        <w:jc w:val="center"/>
        <w:tblInd w:w="0" w:type="dxa"/>
        <w:tblLayout w:type="fixed"/>
        <w:tblCellMar>
          <w:top w:w="28" w:type="dxa"/>
          <w:left w:w="28" w:type="dxa"/>
          <w:bottom w:w="28" w:type="dxa"/>
          <w:right w:w="28" w:type="dxa"/>
        </w:tblCellMar>
      </w:tblPr>
      <w:tblGrid>
        <w:gridCol w:w="369"/>
        <w:gridCol w:w="325"/>
        <w:gridCol w:w="326"/>
        <w:gridCol w:w="109"/>
        <w:gridCol w:w="109"/>
        <w:gridCol w:w="109"/>
        <w:gridCol w:w="2402"/>
        <w:gridCol w:w="2402"/>
        <w:gridCol w:w="3430"/>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3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2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0"/>
              <w:jc w:val="both"/>
              <w:rPr/>
            </w:pPr>
            <w:hyperlink w:anchor="ex311ceosox21.htm">
              <w:r>
                <w:rPr>
                  <w:rStyle w:val="InternetLink"/>
                  <w:rFonts w:ascii="Times New Roman;serif" w:hAnsi="Times New Roman;serif"/>
                  <w:b w:val="false"/>
                  <w:color w:val="0000FF"/>
                  <w:sz w:val="20"/>
                  <w:u w:val="single"/>
                </w:rPr>
                <w:t>Certification of Chief Executive Officer</w:t>
              </w:r>
            </w:hyperlink>
            <w:r>
              <w:rPr>
                <w:color w:val="000000"/>
              </w:rPr>
              <w:t xml:space="preserve"> </w:t>
            </w:r>
            <w:r>
              <w:rPr>
                <w:rFonts w:ascii="Times New Roman;serif" w:hAnsi="Times New Roman;serif"/>
                <w:b w:val="false"/>
                <w:color w:val="000000"/>
                <w:sz w:val="20"/>
              </w:rPr>
              <w:t>pursuant to Section 302 of the Sarbanes-Oxley Act of 2002.</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cfosox2.htm">
              <w:r>
                <w:rPr>
                  <w:rStyle w:val="InternetLink"/>
                  <w:rFonts w:ascii="Times New Roman;serif" w:hAnsi="Times New Roman;serif"/>
                  <w:b w:val="false"/>
                  <w:color w:val="0000FF"/>
                  <w:sz w:val="20"/>
                  <w:u w:val="single"/>
                </w:rPr>
                <w:t>Certification of Chief Financial Officer</w:t>
              </w:r>
            </w:hyperlink>
            <w:r>
              <w:rPr>
                <w:color w:val="000000"/>
              </w:rPr>
              <w:t xml:space="preserve"> </w:t>
            </w:r>
            <w:r>
              <w:rPr>
                <w:rFonts w:ascii="Times New Roman;serif" w:hAnsi="Times New Roman;serif"/>
                <w:b w:val="false"/>
                <w:color w:val="000000"/>
                <w:sz w:val="20"/>
              </w:rPr>
              <w:t>pursuant to Section 302 of the Sarbanes-Oxley Act of 2002.</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both"/>
              <w:rPr/>
            </w:pPr>
            <w:hyperlink w:anchor="ex321ceosox1.htm">
              <w:r>
                <w:rPr>
                  <w:rStyle w:val="InternetLink"/>
                  <w:rFonts w:ascii="Times New Roman;serif" w:hAnsi="Times New Roman;serif"/>
                  <w:b w:val="false"/>
                  <w:color w:val="0000FF"/>
                  <w:sz w:val="20"/>
                  <w:u w:val="single"/>
                </w:rPr>
                <w:t>Certification of Chief Executive Officer</w:t>
              </w:r>
            </w:hyperlink>
            <w:r>
              <w:rPr>
                <w:color w:val="000000"/>
              </w:rPr>
              <w:t xml:space="preserve"> </w:t>
            </w:r>
            <w:r>
              <w:rPr>
                <w:rFonts w:ascii="Times New Roman;serif" w:hAnsi="Times New Roman;serif"/>
                <w:b w:val="false"/>
                <w:color w:val="000000"/>
                <w:sz w:val="20"/>
              </w:rPr>
              <w:t>pursuant to Section 906 of the Sarbanes-Oxley Act of 2002.</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2cfosox1.htm">
              <w:r>
                <w:rPr>
                  <w:rStyle w:val="InternetLink"/>
                  <w:rFonts w:ascii="Times New Roman;serif" w:hAnsi="Times New Roman;serif"/>
                  <w:b w:val="false"/>
                  <w:color w:val="0000FF"/>
                  <w:sz w:val="20"/>
                  <w:u w:val="single"/>
                </w:rPr>
                <w:t>Certification of Chief Financial Officer</w:t>
              </w:r>
            </w:hyperlink>
            <w:r>
              <w:rPr>
                <w:color w:val="000000"/>
              </w:rPr>
              <w:t xml:space="preserve"> </w:t>
            </w:r>
            <w:r>
              <w:rPr>
                <w:rFonts w:ascii="Times New Roman;serif" w:hAnsi="Times New Roman;serif"/>
                <w:b w:val="false"/>
                <w:color w:val="000000"/>
                <w:sz w:val="20"/>
              </w:rPr>
              <w:t>pursuant to Section 906 of the Sarbanes-Oxley Act of 2002.</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02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2681" w:type="dxa"/>
        <w:jc w:val="left"/>
        <w:tblInd w:w="0" w:type="dxa"/>
        <w:tblLayout w:type="fixed"/>
        <w:tblCellMar>
          <w:top w:w="28" w:type="dxa"/>
          <w:left w:w="28" w:type="dxa"/>
          <w:bottom w:w="28" w:type="dxa"/>
          <w:right w:w="28" w:type="dxa"/>
        </w:tblCellMar>
      </w:tblPr>
      <w:tblGrid>
        <w:gridCol w:w="124"/>
        <w:gridCol w:w="109"/>
        <w:gridCol w:w="109"/>
        <w:gridCol w:w="684"/>
        <w:gridCol w:w="684"/>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or 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18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center"/>
        <w:rPr/>
      </w:pPr>
      <w:r>
        <w:rPr/>
      </w:r>
    </w:p>
    <w:tbl>
      <w:tblPr>
        <w:tblW w:w="4419" w:type="dxa"/>
        <w:jc w:val="left"/>
        <w:tblInd w:w="0" w:type="dxa"/>
        <w:tblLayout w:type="fixed"/>
        <w:tblCellMar>
          <w:top w:w="28" w:type="dxa"/>
          <w:left w:w="28" w:type="dxa"/>
          <w:bottom w:w="28" w:type="dxa"/>
          <w:right w:w="28" w:type="dxa"/>
        </w:tblCellMar>
      </w:tblPr>
      <w:tblGrid>
        <w:gridCol w:w="472"/>
        <w:gridCol w:w="416"/>
        <w:gridCol w:w="417"/>
        <w:gridCol w:w="328"/>
        <w:gridCol w:w="328"/>
        <w:gridCol w:w="328"/>
        <w:gridCol w:w="618"/>
        <w:gridCol w:w="618"/>
        <w:gridCol w:w="894"/>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31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MIMEDX GROUP, INC.</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Rice</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I, Joseph H. Capper, certify that:</w:t>
      </w:r>
    </w:p>
    <w:p>
      <w:pPr>
        <w:pStyle w:val="TextBody"/>
        <w:bidi w:val="0"/>
        <w:spacing w:lineRule="auto" w:line="386" w:before="0" w:after="0"/>
        <w:jc w:val="both"/>
        <w:rPr>
          <w:color w:val="000000"/>
        </w:rPr>
      </w:pPr>
      <w:r>
        <w:rPr>
          <w:color w:val="000000"/>
        </w:rPr>
        <w:t> </w:t>
      </w:r>
    </w:p>
    <w:p>
      <w:pPr>
        <w:pStyle w:val="TextBody"/>
        <w:bidi w:val="0"/>
        <w:spacing w:lineRule="auto" w:line="38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MiMedx Group, Inc. (the “Report”); </w:t>
      </w:r>
    </w:p>
    <w:p>
      <w:pPr>
        <w:pStyle w:val="TextBody"/>
        <w:bidi w:val="0"/>
        <w:spacing w:lineRule="auto" w:line="386" w:before="10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86" w:before="10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86" w:before="100" w:after="10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86"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00"/>
        <w:jc w:val="both"/>
        <w:rPr/>
      </w:pPr>
      <w:r>
        <w:rPr/>
      </w:r>
    </w:p>
    <w:tbl>
      <w:tblPr>
        <w:tblW w:w="3914"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ind w:left="0" w:right="0" w:firstLine="45"/>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RULES 13a-14(A) AND 15d-14(A)</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left"/>
        <w:rPr>
          <w:rFonts w:ascii="Times New Roman;serif" w:hAnsi="Times New Roman;serif"/>
          <w:b w:val="false"/>
          <w:color w:val="000000"/>
          <w:sz w:val="20"/>
        </w:rPr>
      </w:pPr>
      <w:r>
        <w:rPr>
          <w:rFonts w:ascii="Times New Roman;serif" w:hAnsi="Times New Roman;serif"/>
          <w:b w:val="false"/>
          <w:color w:val="000000"/>
          <w:sz w:val="20"/>
        </w:rPr>
        <w:t>I, Doug Rice, certify that:</w:t>
      </w:r>
    </w:p>
    <w:p>
      <w:pPr>
        <w:pStyle w:val="TextBody"/>
        <w:bidi w:val="0"/>
        <w:spacing w:before="0" w:after="0"/>
        <w:jc w:val="left"/>
        <w:rPr/>
      </w:pPr>
      <w:r>
        <w:rPr/>
      </w:r>
    </w:p>
    <w:p>
      <w:pPr>
        <w:pStyle w:val="TextBody"/>
        <w:bidi w:val="0"/>
        <w:spacing w:lineRule="auto" w:line="38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MiMedx Group, Inc. (the “Report”);</w:t>
      </w:r>
    </w:p>
    <w:p>
      <w:pPr>
        <w:pStyle w:val="TextBody"/>
        <w:bidi w:val="0"/>
        <w:spacing w:lineRule="auto" w:line="386"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86"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86" w:before="10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86" w:before="10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86" w:before="100" w:after="10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100"/>
        <w:jc w:val="both"/>
        <w:rPr>
          <w:color w:val="000000"/>
        </w:rPr>
      </w:pPr>
      <w:r>
        <w:rPr>
          <w:color w:val="000000"/>
        </w:rPr>
        <w:t> </w:t>
      </w:r>
    </w:p>
    <w:tbl>
      <w:tblPr>
        <w:tblW w:w="3853"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0"/>
        <w:ind w:left="0" w:right="0" w:firstLine="45"/>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both"/>
        <w:rPr>
          <w:color w:val="000000"/>
        </w:rPr>
      </w:pPr>
      <w:r>
        <w:rPr>
          <w:color w:val="000000"/>
        </w:rPr>
        <w:t>    </w:t>
      </w:r>
      <w:r>
        <w:rPr>
          <w:rFonts w:ascii="Times New Roman;serif" w:hAnsi="Times New Roman;serif"/>
          <w:b w:val="false"/>
          <w:color w:val="000000"/>
          <w:sz w:val="20"/>
        </w:rPr>
        <w:t>The undersigned Joseph H. Capper, the Chief Executive Officer of MiMedx Group, Inc. (the “Company”), has executed this certification in connection with the filing with the Securities and Exchange Commission of the Company’s Quarterly Report on Form 10-Q for the period ending March 31, 2026 (the “Report”). Pursuant to 18 U.S.C. Section 1350, as adopted pursuant to Section 906 of the Sarbanes-Oxley Act of 2002, the undersigned hereby certifies, to his knowledge, that:</w:t>
      </w:r>
    </w:p>
    <w:p>
      <w:pPr>
        <w:pStyle w:val="TextBody"/>
        <w:bidi w:val="0"/>
        <w:spacing w:before="0" w:after="0"/>
        <w:jc w:val="both"/>
        <w:rPr/>
      </w:pPr>
      <w:r>
        <w:rPr/>
      </w:r>
    </w:p>
    <w:p>
      <w:pPr>
        <w:pStyle w:val="TextBody"/>
        <w:bidi w:val="0"/>
        <w:spacing w:lineRule="auto" w:line="38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86" w:before="60" w:after="1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958"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618"/>
        <w:gridCol w:w="618"/>
        <w:gridCol w:w="87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H. Capper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0"/>
        <w:jc w:val="right"/>
        <w:rPr/>
      </w:pPr>
      <w:r>
        <w:rPr>
          <w:color w:val="000000"/>
        </w:rPr>
        <w:t> </w:t>
      </w:r>
      <w:r>
        <w:rPr>
          <w:rFonts w:ascii="Times New Roman;serif" w:hAnsi="Times New Roman;serif"/>
          <w:b/>
          <w:color w:val="000000"/>
          <w:sz w:val="20"/>
        </w:rPr>
        <w:t>Exhibit 32.2</w:t>
      </w:r>
    </w:p>
    <w:p>
      <w:pPr>
        <w:pStyle w:val="TextBody"/>
        <w:bidi w:val="0"/>
        <w:spacing w:lineRule="auto" w:line="386" w:before="0" w:after="0"/>
        <w:jc w:val="right"/>
        <w:rPr>
          <w:color w:val="000000"/>
        </w:rPr>
      </w:pPr>
      <w:r>
        <w:rPr>
          <w:color w:val="000000"/>
        </w:rPr>
        <w:t>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86" w:before="0" w:after="0"/>
        <w:jc w:val="both"/>
        <w:rPr>
          <w:color w:val="000000"/>
        </w:rPr>
      </w:pPr>
      <w:r>
        <w:rPr>
          <w:color w:val="000000"/>
        </w:rPr>
        <w:t> </w:t>
      </w:r>
    </w:p>
    <w:p>
      <w:pPr>
        <w:pStyle w:val="TextBody"/>
        <w:bidi w:val="0"/>
        <w:spacing w:lineRule="auto" w:line="386" w:before="0" w:after="0"/>
        <w:jc w:val="both"/>
        <w:rPr>
          <w:color w:val="000000"/>
        </w:rPr>
      </w:pPr>
      <w:r>
        <w:rPr>
          <w:color w:val="000000"/>
        </w:rPr>
        <w:t>    </w:t>
      </w:r>
      <w:r>
        <w:rPr>
          <w:rFonts w:ascii="Times New Roman;serif" w:hAnsi="Times New Roman;serif"/>
          <w:b w:val="false"/>
          <w:color w:val="000000"/>
          <w:sz w:val="20"/>
        </w:rPr>
        <w:t>The undersigned, Doug Rice, the Chief Financial Officer of MiMedx Group, Inc. (the “Company”), has executed this certification in connection with the filing with the Securities and Exchange Commission of the Company’s Quarterly Report on Form 10-Q for the period ending March 31, 2026 (the “Report”). Pursuant to 18 U.S.C. Section 1350, as adopted pursuant to Section 906 of the Sarbanes-Oxley Act of 2002, the undersigned hereby certifies, to his knowledge, that:</w:t>
      </w:r>
    </w:p>
    <w:p>
      <w:pPr>
        <w:pStyle w:val="TextBody"/>
        <w:bidi w:val="0"/>
        <w:spacing w:before="0" w:after="0"/>
        <w:jc w:val="both"/>
        <w:rPr/>
      </w:pPr>
      <w:r>
        <w:rPr/>
      </w:r>
    </w:p>
    <w:p>
      <w:pPr>
        <w:pStyle w:val="TextBody"/>
        <w:bidi w:val="0"/>
        <w:spacing w:lineRule="auto" w:line="38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8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100"/>
        <w:jc w:val="both"/>
        <w:rPr/>
      </w:pPr>
      <w:r>
        <w:rPr/>
      </w:r>
    </w:p>
    <w:tbl>
      <w:tblPr>
        <w:tblW w:w="3853"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29, 2026</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Doug Rice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9030</Words>
  <Characters>50474</Characters>
  <CharactersWithSpaces>58857</CharactersWithSpaces>
  <Paragraphs>1286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