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MIMEDX GROUP,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84"/>
        <w:spacing w:after="0"/>
        <w:rPr>
          <w:sz w:val="20"/>
          <w:szCs w:val="20"/>
          <w:color w:val="auto"/>
        </w:rPr>
      </w:pPr>
      <w:r>
        <w:rPr>
          <w:rFonts w:ascii="Times New Roman" w:cs="Times New Roman" w:eastAsia="Times New Roman" w:hAnsi="Times New Roman"/>
          <w:sz w:val="18"/>
          <w:szCs w:val="18"/>
          <w:b w:val="1"/>
          <w:bCs w:val="1"/>
          <w:color w:val="auto"/>
        </w:rPr>
        <w:t>Florida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001-35887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26-2792552</w:t>
      </w:r>
    </w:p>
    <w:p>
      <w:pPr>
        <w:spacing w:after="0" w:line="23"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1775 West Oak Commons Ct., NE, Marietta GA 30062</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(770) 651-9100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250190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$0.001 par value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MDXG</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1204" w:right="1020" w:hanging="1200"/>
        <w:spacing w:after="0" w:line="286" w:lineRule="auto"/>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ind w:left="4" w:right="40" w:hanging="4"/>
        <w:spacing w:after="0" w:line="256" w:lineRule="auto"/>
        <w:tabs>
          <w:tab w:leader="none" w:pos="24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reported below in Item 5.07, at the 2022 Annual Meeting (the “2022 Annual Meeting”) of shareholders of MiMedx Group, Inc. (the “Company”), the Company’s shareholders approved the MiMedx, Inc. Employee Stock Purchase Plan (the “ESPP”), which authorized three million shares for issuance and sale under the ESPP. A summary of the material terms of the ESPP is set forth in the Company’s definitive proxy statement for the 2022 Annual Meeting, which was filed with the Securities and Exchange Commission on April 26, 2022 (the “Proxy Statement”), and which description is incorporated herein by reference. Such description does not purport to be complete and is qualified in its entirety by reference to the full text of the ESPP, which is attached as Annex A to the Proxy Statement and is also incorporated herein by reference.</w:t>
      </w:r>
    </w:p>
    <w:p>
      <w:pPr>
        <w:spacing w:after="0" w:line="332"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21"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On June 7, 2022, the Company held its 2022 Annual Meeting. At the 2022 Annual Meeting, shares of Company common stock and Series B Preferred Stock representing 114,875,727 votes (i.e., approximately 86.8% of the votes entitled to be cast at the 2022 Annual Meeting) were represented in person or by proxy.</w:t>
      </w:r>
    </w:p>
    <w:p>
      <w:pPr>
        <w:spacing w:after="0" w:line="176"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At the 2022 Annual Meeting, shareholders of the Company: (1) elected James L. Bierman and Phyllis I. Gardner as directors; (2) approved an advisory resolution regarding executive compensation; (3) ratified the appointment of Deloitte &amp; Touche LLP as the Company’s independent registered public accounting firm for the fiscal year ending December 31, 2022; and (4) adopted the ESPP. Set forth below is information regarding the votes cast for each proposal:</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Proposal 1: Election of Two Directors.</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130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For</w:t>
            </w: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5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8"/>
              </w:rPr>
              <w:t>Broker Non-Votes</w:t>
            </w:r>
          </w:p>
        </w:tc>
        <w:tc>
          <w:tcPr>
            <w:tcW w:w="25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Percentage Approved By</w:t>
            </w:r>
            <w:r>
              <w:rPr>
                <w:rFonts w:ascii="Times New Roman" w:cs="Times New Roman" w:eastAsia="Times New Roman" w:hAnsi="Times New Roman"/>
                <w:sz w:val="12"/>
                <w:szCs w:val="12"/>
                <w:b w:val="1"/>
                <w:bCs w:val="1"/>
                <w:color w:val="auto"/>
              </w:rPr>
              <w:t>1</w:t>
            </w: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Approved By</w:t>
            </w: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Withhold</w:t>
            </w:r>
          </w:p>
        </w:tc>
        <w:tc>
          <w:tcPr>
            <w:tcW w:w="1540" w:type="dxa"/>
            <w:vAlign w:val="bottom"/>
            <w:gridSpan w:val="2"/>
            <w:vMerge w:val="continue"/>
          </w:tcPr>
          <w:p>
            <w:pPr>
              <w:spacing w:after="0"/>
              <w:rPr>
                <w:sz w:val="15"/>
                <w:szCs w:val="15"/>
                <w:color w:val="auto"/>
              </w:rPr>
            </w:pPr>
          </w:p>
        </w:tc>
        <w:tc>
          <w:tcPr>
            <w:tcW w:w="2580" w:type="dxa"/>
            <w:vAlign w:val="bottom"/>
            <w:gridSpan w:val="2"/>
            <w:vMerge w:val="continue"/>
          </w:tcPr>
          <w:p>
            <w:pPr>
              <w:spacing w:after="0"/>
              <w:rPr>
                <w:sz w:val="15"/>
                <w:szCs w:val="15"/>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(Excluding Preferred Holders)</w:t>
            </w:r>
            <w:r>
              <w:rPr>
                <w:rFonts w:ascii="Times New Roman" w:cs="Times New Roman" w:eastAsia="Times New Roman" w:hAnsi="Times New Roman"/>
                <w:sz w:val="12"/>
                <w:szCs w:val="12"/>
                <w:b w:val="1"/>
                <w:bCs w:val="1"/>
                <w:color w:val="auto"/>
              </w:rPr>
              <w:t>1,2</w:t>
            </w:r>
          </w:p>
        </w:tc>
        <w:tc>
          <w:tcPr>
            <w:tcW w:w="0" w:type="dxa"/>
            <w:vAlign w:val="bottom"/>
          </w:tcPr>
          <w:p>
            <w:pPr>
              <w:spacing w:after="0"/>
              <w:rPr>
                <w:sz w:val="1"/>
                <w:szCs w:val="1"/>
                <w:color w:val="auto"/>
              </w:rPr>
            </w:pPr>
          </w:p>
        </w:tc>
      </w:tr>
      <w:tr>
        <w:trPr>
          <w:trHeight w:val="209"/>
        </w:trPr>
        <w:tc>
          <w:tcPr>
            <w:tcW w:w="2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L. Bierman</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72,259,814</w:t>
            </w:r>
          </w:p>
        </w:tc>
        <w:tc>
          <w:tcPr>
            <w:tcW w:w="4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21,753,552</w:t>
            </w:r>
          </w:p>
        </w:tc>
        <w:tc>
          <w:tcPr>
            <w:tcW w:w="4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20,862,361</w:t>
            </w:r>
          </w:p>
        </w:tc>
        <w:tc>
          <w:tcPr>
            <w:tcW w:w="44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76.86%</w:t>
            </w:r>
          </w:p>
        </w:tc>
        <w:tc>
          <w:tcPr>
            <w:tcW w:w="42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70.98%</w:t>
            </w: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Phyllis I. Gardner</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74,864,892</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19,148,474</w:t>
            </w: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20,862,361</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79.63%</w:t>
            </w:r>
          </w:p>
        </w:tc>
        <w:tc>
          <w:tcPr>
            <w:tcW w:w="42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74.46%</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Proposal 2: Advisory approval of Executive Compensation.</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Percentage Approved</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Approved By</w:t>
            </w:r>
          </w:p>
        </w:tc>
        <w:tc>
          <w:tcPr>
            <w:tcW w:w="0" w:type="dxa"/>
            <w:vAlign w:val="bottom"/>
          </w:tcPr>
          <w:p>
            <w:pPr>
              <w:spacing w:after="0"/>
              <w:rPr>
                <w:sz w:val="1"/>
                <w:szCs w:val="1"/>
                <w:color w:val="auto"/>
              </w:rPr>
            </w:pPr>
          </w:p>
        </w:tc>
      </w:tr>
      <w:tr>
        <w:trPr>
          <w:trHeight w:val="148"/>
        </w:trPr>
        <w:tc>
          <w:tcPr>
            <w:tcW w:w="14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w:t>
            </w:r>
          </w:p>
        </w:tc>
        <w:tc>
          <w:tcPr>
            <w:tcW w:w="1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1980" w:type="dxa"/>
            <w:vAlign w:val="bottom"/>
            <w:gridSpan w:val="2"/>
            <w:vMerge w:val="continue"/>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Preferred</w:t>
            </w:r>
          </w:p>
        </w:tc>
        <w:tc>
          <w:tcPr>
            <w:tcW w:w="0" w:type="dxa"/>
            <w:vAlign w:val="bottom"/>
          </w:tcPr>
          <w:p>
            <w:pPr>
              <w:spacing w:after="0"/>
              <w:rPr>
                <w:sz w:val="1"/>
                <w:szCs w:val="1"/>
                <w:color w:val="auto"/>
              </w:rPr>
            </w:pPr>
          </w:p>
        </w:tc>
      </w:tr>
      <w:tr>
        <w:trPr>
          <w:trHeight w:val="187"/>
        </w:trPr>
        <w:tc>
          <w:tcPr>
            <w:tcW w:w="1480" w:type="dxa"/>
            <w:vAlign w:val="bottom"/>
            <w:gridSpan w:val="2"/>
            <w:vMerge w:val="continue"/>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980" w:type="dxa"/>
            <w:vAlign w:val="bottom"/>
            <w:gridSpan w:val="2"/>
            <w:vMerge w:val="continue"/>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By</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Holders)</w:t>
            </w: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210"/>
        </w:trPr>
        <w:tc>
          <w:tcPr>
            <w:tcW w:w="130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62,182,208</w:t>
            </w:r>
          </w:p>
        </w:tc>
        <w:tc>
          <w:tcPr>
            <w:tcW w:w="1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rPr>
              <w:t>30,770,310</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1,060,849</w:t>
            </w:r>
          </w:p>
        </w:tc>
        <w:tc>
          <w:tcPr>
            <w:tcW w:w="12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8"/>
                <w:szCs w:val="18"/>
                <w:color w:val="auto"/>
              </w:rPr>
              <w:t>20,862,360</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66.90%</w:t>
            </w: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58.36%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 w:right="840"/>
        <w:spacing w:after="0" w:line="282" w:lineRule="auto"/>
        <w:rPr>
          <w:sz w:val="20"/>
          <w:szCs w:val="20"/>
          <w:color w:val="auto"/>
        </w:rPr>
      </w:pPr>
      <w:r>
        <w:rPr>
          <w:rFonts w:ascii="Times New Roman" w:cs="Times New Roman" w:eastAsia="Times New Roman" w:hAnsi="Times New Roman"/>
          <w:sz w:val="18"/>
          <w:szCs w:val="18"/>
          <w:u w:val="single" w:color="auto"/>
          <w:color w:val="auto"/>
        </w:rPr>
        <w:t>Proposal 3: Ratification of Deloitte &amp; Touche LLP as the Company’s independent registered public accounting firm for the fiscal year ending December 31, 2022</w:t>
      </w:r>
      <w:r>
        <w:rPr>
          <w:rFonts w:ascii="Times New Roman" w:cs="Times New Roman" w:eastAsia="Times New Roman" w:hAnsi="Times New Roman"/>
          <w:sz w:val="18"/>
          <w:szCs w:val="18"/>
          <w:color w:val="auto"/>
        </w:rPr>
        <w:t>;</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Percentage Approved</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Approved By</w:t>
            </w:r>
          </w:p>
        </w:tc>
        <w:tc>
          <w:tcPr>
            <w:tcW w:w="0" w:type="dxa"/>
            <w:vAlign w:val="bottom"/>
          </w:tcPr>
          <w:p>
            <w:pPr>
              <w:spacing w:after="0"/>
              <w:rPr>
                <w:sz w:val="1"/>
                <w:szCs w:val="1"/>
                <w:color w:val="auto"/>
              </w:rPr>
            </w:pPr>
          </w:p>
        </w:tc>
      </w:tr>
      <w:tr>
        <w:trPr>
          <w:trHeight w:val="149"/>
        </w:trPr>
        <w:tc>
          <w:tcPr>
            <w:tcW w:w="14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w:t>
            </w:r>
          </w:p>
        </w:tc>
        <w:tc>
          <w:tcPr>
            <w:tcW w:w="1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1980" w:type="dxa"/>
            <w:vAlign w:val="bottom"/>
            <w:gridSpan w:val="2"/>
            <w:vMerge w:val="continue"/>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Preferred</w:t>
            </w:r>
          </w:p>
        </w:tc>
        <w:tc>
          <w:tcPr>
            <w:tcW w:w="0" w:type="dxa"/>
            <w:vAlign w:val="bottom"/>
          </w:tcPr>
          <w:p>
            <w:pPr>
              <w:spacing w:after="0"/>
              <w:rPr>
                <w:sz w:val="1"/>
                <w:szCs w:val="1"/>
                <w:color w:val="auto"/>
              </w:rPr>
            </w:pPr>
          </w:p>
        </w:tc>
      </w:tr>
      <w:tr>
        <w:trPr>
          <w:trHeight w:val="187"/>
        </w:trPr>
        <w:tc>
          <w:tcPr>
            <w:tcW w:w="1480" w:type="dxa"/>
            <w:vAlign w:val="bottom"/>
            <w:gridSpan w:val="2"/>
            <w:vMerge w:val="continue"/>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980" w:type="dxa"/>
            <w:vAlign w:val="bottom"/>
            <w:gridSpan w:val="2"/>
            <w:vMerge w:val="continue"/>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By</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Holders)</w:t>
            </w: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210"/>
        </w:trPr>
        <w:tc>
          <w:tcPr>
            <w:tcW w:w="1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110,098,462</w:t>
            </w:r>
          </w:p>
        </w:tc>
        <w:tc>
          <w:tcPr>
            <w:tcW w:w="1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8"/>
                <w:szCs w:val="18"/>
                <w:color w:val="auto"/>
              </w:rPr>
              <w:t>4,354,816</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422,449</w:t>
            </w:r>
          </w:p>
        </w:tc>
        <w:tc>
          <w:tcPr>
            <w:tcW w:w="12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96.20%</w:t>
            </w: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95.44%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Proposal 4: Approved adoption of the ESPP</w:t>
      </w:r>
      <w:r>
        <w:rPr>
          <w:rFonts w:ascii="Times New Roman" w:cs="Times New Roman" w:eastAsia="Times New Roman" w:hAnsi="Times New Roman"/>
          <w:sz w:val="18"/>
          <w:szCs w:val="18"/>
          <w:color w:val="auto"/>
        </w:rPr>
        <w:t>.</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Percentage Approved</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Approved By</w:t>
            </w:r>
          </w:p>
        </w:tc>
        <w:tc>
          <w:tcPr>
            <w:tcW w:w="0" w:type="dxa"/>
            <w:vAlign w:val="bottom"/>
          </w:tcPr>
          <w:p>
            <w:pPr>
              <w:spacing w:after="0"/>
              <w:rPr>
                <w:sz w:val="1"/>
                <w:szCs w:val="1"/>
                <w:color w:val="auto"/>
              </w:rPr>
            </w:pPr>
          </w:p>
        </w:tc>
      </w:tr>
      <w:tr>
        <w:trPr>
          <w:trHeight w:val="148"/>
        </w:trPr>
        <w:tc>
          <w:tcPr>
            <w:tcW w:w="14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w:t>
            </w:r>
          </w:p>
        </w:tc>
        <w:tc>
          <w:tcPr>
            <w:tcW w:w="1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1980" w:type="dxa"/>
            <w:vAlign w:val="bottom"/>
            <w:gridSpan w:val="2"/>
            <w:vMerge w:val="continue"/>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Preferred</w:t>
            </w:r>
          </w:p>
        </w:tc>
        <w:tc>
          <w:tcPr>
            <w:tcW w:w="0" w:type="dxa"/>
            <w:vAlign w:val="bottom"/>
          </w:tcPr>
          <w:p>
            <w:pPr>
              <w:spacing w:after="0"/>
              <w:rPr>
                <w:sz w:val="1"/>
                <w:szCs w:val="1"/>
                <w:color w:val="auto"/>
              </w:rPr>
            </w:pPr>
          </w:p>
        </w:tc>
      </w:tr>
      <w:tr>
        <w:trPr>
          <w:trHeight w:val="187"/>
        </w:trPr>
        <w:tc>
          <w:tcPr>
            <w:tcW w:w="1480" w:type="dxa"/>
            <w:vAlign w:val="bottom"/>
            <w:gridSpan w:val="2"/>
            <w:vMerge w:val="continue"/>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980" w:type="dxa"/>
            <w:vAlign w:val="bottom"/>
            <w:gridSpan w:val="2"/>
            <w:vMerge w:val="continue"/>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By</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Holders)</w:t>
            </w: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210"/>
        </w:trPr>
        <w:tc>
          <w:tcPr>
            <w:tcW w:w="130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75,471,003</w:t>
            </w:r>
          </w:p>
        </w:tc>
        <w:tc>
          <w:tcPr>
            <w:tcW w:w="1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rPr>
              <w:t>18,100,021</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442,342</w:t>
            </w:r>
          </w:p>
        </w:tc>
        <w:tc>
          <w:tcPr>
            <w:tcW w:w="12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8"/>
                <w:szCs w:val="18"/>
                <w:color w:val="auto"/>
              </w:rPr>
              <w:t>20,862,361</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80.66%</w:t>
            </w: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75.71%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Percentage is calculated based on abstained votes being counted as a vote against the proposal.</w:t>
      </w:r>
    </w:p>
    <w:p>
      <w:pPr>
        <w:spacing w:after="0" w:line="26"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Percentage is calculated excluding votes representing shares of Series B Preferred Stock from numerator and denominator.</w:t>
      </w:r>
    </w:p>
    <w:p>
      <w:pPr>
        <w:sectPr>
          <w:pgSz w:w="11900" w:h="16838" w:orient="portrait"/>
          <w:cols w:equalWidth="0" w:num="1">
            <w:col w:w="11024"/>
          </w:cols>
          <w:pgMar w:left="436" w:top="293" w:right="4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hereunto duly authorized.</w:t>
      </w:r>
    </w:p>
    <w:p>
      <w:pPr>
        <w:spacing w:after="0" w:line="18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MIMEDX GROUP, INC.</w:t>
      </w:r>
    </w:p>
    <w:p>
      <w:pPr>
        <w:spacing w:after="0" w:line="229" w:lineRule="exact"/>
        <w:rPr>
          <w:sz w:val="20"/>
          <w:szCs w:val="20"/>
          <w:color w:val="auto"/>
        </w:rPr>
      </w:pPr>
    </w:p>
    <w:p>
      <w:pPr>
        <w:ind w:left="360"/>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13,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M.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Peter M. Carlson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940"/>
      </w:cols>
      <w:pgMar w:left="440" w:top="293"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5"/>
    </w:lvl>
  </w:abstractNum>
  <w:abstractNum w:abstractNumId="2">
    <w:nsid w:val="2AE8944A"/>
    <w:multiLevelType w:val="hybridMultilevel"/>
    <w:lvl w:ilvl="0">
      <w:lvlJc w:val="left"/>
      <w:lvlText w:val="1"/>
      <w:numFmt w:val="bullet"/>
      <w:start w:val="1"/>
    </w:lvl>
  </w:abstractNum>
  <w:abstractNum w:abstractNumId="3">
    <w:nsid w:val="625558EC"/>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2022-06-13T16:27:18Z</dcterms:created>
  <dcterms:modified xsi:type="dcterms:W3CDTF">2022-06-13T16:27:18Z</dcterms:modified>
</cp:coreProperties>
</file>