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7.jpeg" ContentType="image/jpeg"/>
  <Override PartName="/word/media/image38.jpeg" ContentType="image/jpeg"/>
  <Override PartName="/word/media/image51.jpeg" ContentType="image/jpeg"/>
  <Override PartName="/word/media/image6.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center"/>
        <w:rPr/>
      </w:pPr>
      <w:r>
        <w:rPr>
          <w:rFonts w:ascii="Times New Roman;serif" w:hAnsi="Times New Roman;serif"/>
          <w:b/>
          <w:color w:val="000000"/>
          <w:sz w:val="28"/>
        </w:rPr>
        <w:t xml:space="preserve">FORM 8-K </w:t>
        <w:br/>
      </w:r>
      <w:r>
        <w:rPr>
          <w:rFonts w:ascii="Times New Roman;serif" w:hAnsi="Times New Roman;serif"/>
          <w:b w:val="false"/>
          <w:color w:val="000000"/>
          <w:sz w:val="20"/>
        </w:rPr>
        <w:t>____________________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29, 2026 </w:t>
      </w:r>
    </w:p>
    <w:p>
      <w:pPr>
        <w:pStyle w:val="TextBody"/>
        <w:bidi w:val="0"/>
        <w:spacing w:lineRule="auto" w:line="288" w:before="0" w:after="200"/>
        <w:jc w:val="center"/>
        <w:rPr>
          <w:rFonts w:ascii="Times New Roman;serif" w:hAnsi="Times New Roman;serif"/>
          <w:b/>
          <w:color w:val="000000"/>
          <w:sz w:val="32"/>
        </w:rPr>
      </w:pPr>
      <w:r>
        <w:rPr>
          <w:rFonts w:ascii="Times New Roman;serif" w:hAnsi="Times New Roman;serif"/>
          <w:b/>
          <w:color w:val="000000"/>
          <w:sz w:val="32"/>
        </w:rPr>
        <w:t>MIMEDX GROUP,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917" w:type="dxa"/>
        <w:jc w:val="center"/>
        <w:tblInd w:w="0" w:type="dxa"/>
        <w:tblLayout w:type="fixed"/>
        <w:tblCellMar>
          <w:top w:w="28" w:type="dxa"/>
          <w:left w:w="28" w:type="dxa"/>
          <w:bottom w:w="28" w:type="dxa"/>
          <w:right w:w="28" w:type="dxa"/>
        </w:tblCellMar>
      </w:tblPr>
      <w:tblGrid>
        <w:gridCol w:w="851"/>
        <w:gridCol w:w="750"/>
        <w:gridCol w:w="754"/>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001-35887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26-2792552</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1775 West Oak Commons Ct., NE, Marietta GA 30062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(770) 651-9100</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02" w:type="dxa"/>
        <w:jc w:val="center"/>
        <w:tblInd w:w="0" w:type="dxa"/>
        <w:tblLayout w:type="fixed"/>
        <w:tblCellMar>
          <w:top w:w="28" w:type="dxa"/>
          <w:left w:w="28" w:type="dxa"/>
          <w:bottom w:w="28" w:type="dxa"/>
          <w:right w:w="28" w:type="dxa"/>
        </w:tblCellMar>
      </w:tblPr>
      <w:tblGrid>
        <w:gridCol w:w="1360"/>
        <w:gridCol w:w="1195"/>
        <w:gridCol w:w="1209"/>
        <w:gridCol w:w="109"/>
        <w:gridCol w:w="109"/>
        <w:gridCol w:w="109"/>
        <w:gridCol w:w="564"/>
        <w:gridCol w:w="564"/>
        <w:gridCol w:w="566"/>
        <w:gridCol w:w="109"/>
        <w:gridCol w:w="109"/>
        <w:gridCol w:w="109"/>
        <w:gridCol w:w="815"/>
        <w:gridCol w:w="815"/>
        <w:gridCol w:w="1160"/>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MDXG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20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Important Cautionary Statement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Statements regarding: (i) future sales or sales growth; (ii) our 2026 and longer term financial goals and expectations for future financial results, including levels of net sales, Adjusted EBITDA, Adjusted EBITDA margin, corporate expenses and cash; (iii) our expectations regarding the placental tissue market; (iv) our expectations regarding Medicare reimbursement; and (v) performance in different care settings, are forward-looking statements. Additional forward-looking statements may be identified by words such as “believe,” “expect,” “may,” “plan,” “goal,” “outlook,” “potential,” “will,” “preliminary,” and similar expressions, and are based on management’s current beliefs and expectations.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reimbursement environment and many other factors; (ii) the Company may change its plans due to unforeseen circumstances; (iii) the results of scientific research are uncertain and may have little or no value; (iv) our ability to sell our products in other countries depends on a number of factors including adequate levels of reimbursement, market acceptance of novel therapies, and our ability to build and manage a direct sales force or third party distribution relationship; (v) the effectiveness of amniotic tissue as a therapy for particular indications or conditions is the subject of further scientific and clinical studies; and (vi) we may alter the timing and amount of planned expenditures for research and development based regulatory developments. The Company describes additional risks and uncertainties in the Risk Factors section of its most recent annual report and quarterly reports filed with the Securities and Exchange Commission. Any forward-looking statements speak only as of the date of this report and the Company assumes no obligation to update any forward-looking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July 29, 2026, MiMedx Group, Inc. (the “</w:t>
      </w:r>
      <w:r>
        <w:rPr>
          <w:rFonts w:ascii="Times New Roman;serif" w:hAnsi="Times New Roman;serif"/>
          <w:b/>
          <w:color w:val="000000"/>
          <w:sz w:val="20"/>
          <w:shd w:fill="FFFFFF" w:val="clear"/>
        </w:rPr>
        <w:t>Company</w:t>
      </w:r>
      <w:r>
        <w:rPr>
          <w:color w:val="000000"/>
          <w:shd w:fill="FFFFFF" w:val="clear"/>
        </w:rPr>
        <w:t>”</w:t>
      </w:r>
      <w:r>
        <w:rPr>
          <w:rFonts w:ascii="Times New Roman;serif" w:hAnsi="Times New Roman;serif"/>
          <w:b w:val="false"/>
          <w:color w:val="000000"/>
          <w:sz w:val="20"/>
          <w:shd w:fill="FFFFFF" w:val="clear"/>
        </w:rPr>
        <w:t>), issued a press release (the “</w:t>
      </w:r>
      <w:r>
        <w:rPr>
          <w:rFonts w:ascii="Times New Roman;serif" w:hAnsi="Times New Roman;serif"/>
          <w:b/>
          <w:color w:val="000000"/>
          <w:sz w:val="20"/>
          <w:shd w:fill="FFFFFF" w:val="clear"/>
        </w:rPr>
        <w:t>Earnings Press Release</w:t>
      </w:r>
      <w:r>
        <w:rPr>
          <w:color w:val="000000"/>
          <w:shd w:fill="FFFFFF" w:val="clear"/>
        </w:rPr>
        <w:t>”</w:t>
      </w:r>
      <w:r>
        <w:rPr>
          <w:rFonts w:ascii="Times New Roman;serif" w:hAnsi="Times New Roman;serif"/>
          <w:b w:val="false"/>
          <w:color w:val="000000"/>
          <w:sz w:val="20"/>
          <w:shd w:fill="FFFFFF" w:val="clear"/>
        </w:rPr>
        <w:t>) announcing its results for the second quarter of 2026. A copy of the Earnings Press Release is attached hereto as Exhibit 99.1 and is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foregoing information is furnished pursuant to Item 2.02, “Results of Operations and Financial Condition”, including Exhibit 99.1 attached hereto, and shall not be deemed “filed” for purposes of Section 18 of the Securities Exchange Act of 1934, as amended (the “</w:t>
      </w:r>
      <w:r>
        <w:rPr>
          <w:rFonts w:ascii="Times New Roman;serif" w:hAnsi="Times New Roman;serif"/>
          <w:b/>
          <w:color w:val="000000"/>
          <w:sz w:val="20"/>
          <w:shd w:fill="FFFFFF" w:val="clear"/>
        </w:rPr>
        <w:t>Exchange Act</w:t>
      </w:r>
      <w:r>
        <w:rPr>
          <w:color w:val="000000"/>
          <w:shd w:fill="FFFFFF" w:val="clear"/>
        </w:rPr>
        <w:t>”</w:t>
      </w:r>
      <w:r>
        <w:rPr>
          <w:rFonts w:ascii="Times New Roman;serif" w:hAnsi="Times New Roman;serif"/>
          <w:b w:val="false"/>
          <w:color w:val="000000"/>
          <w:sz w:val="20"/>
          <w:shd w:fill="FFFFFF" w:val="clear"/>
        </w:rPr>
        <w:t>), or otherwise subject to the liabilities of that section. It may only be incorporated by reference into another filing under the Exchange Act or Securities Act of 1933, as amended (the “</w:t>
      </w:r>
      <w:r>
        <w:rPr>
          <w:rFonts w:ascii="Times New Roman;serif" w:hAnsi="Times New Roman;serif"/>
          <w:b/>
          <w:color w:val="000000"/>
          <w:sz w:val="20"/>
          <w:shd w:fill="FFFFFF" w:val="clear"/>
        </w:rPr>
        <w:t>Securities Act</w:t>
      </w:r>
      <w:r>
        <w:rPr>
          <w:color w:val="000000"/>
          <w:shd w:fill="FFFFFF" w:val="clear"/>
        </w:rPr>
        <w:t>”</w:t>
      </w:r>
      <w:r>
        <w:rPr>
          <w:rFonts w:ascii="Times New Roman;serif" w:hAnsi="Times New Roman;serif"/>
          <w:b w:val="false"/>
          <w:color w:val="000000"/>
          <w:sz w:val="20"/>
          <w:shd w:fill="FFFFFF" w:val="clear"/>
        </w:rPr>
        <w:t>), if such subsequent filing specifically references this Form 8-K. All information in the Earnings Press Release speaks as of the date thereof and the Company does not assume any obligation to update such information in the future. In addition, the Company disclaims any inference regarding the materiality of such information which otherwise may arise as a result of its furnishing such information under Item 2.02 of this report on Form 8-K.</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93" w:type="dxa"/>
        <w:jc w:val="left"/>
        <w:tblInd w:w="0" w:type="dxa"/>
        <w:tblLayout w:type="fixed"/>
        <w:tblCellMar>
          <w:top w:w="28" w:type="dxa"/>
          <w:left w:w="28" w:type="dxa"/>
          <w:bottom w:w="28" w:type="dxa"/>
          <w:right w:w="28" w:type="dxa"/>
        </w:tblCellMar>
      </w:tblPr>
      <w:tblGrid>
        <w:gridCol w:w="331"/>
        <w:gridCol w:w="290"/>
        <w:gridCol w:w="293"/>
        <w:gridCol w:w="403"/>
        <w:gridCol w:w="403"/>
        <w:gridCol w:w="57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w:t>
            </w:r>
          </w:p>
        </w:tc>
        <w:tc>
          <w:tcPr>
            <w:tcW w:w="13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Regulation FD</w:t>
            </w:r>
          </w:p>
        </w:tc>
      </w:tr>
    </w:tbl>
    <w:p>
      <w:pPr>
        <w:pStyle w:val="TextBody"/>
        <w:bidi w:val="0"/>
        <w:spacing w:lineRule="auto" w:line="276" w:before="0" w:after="0"/>
        <w:jc w:val="both"/>
        <w:rPr/>
      </w:pPr>
      <w:r>
        <w:rPr>
          <w:rFonts w:ascii="Times New Roman;serif" w:hAnsi="Times New Roman;serif"/>
          <w:b w:val="false"/>
          <w:color w:val="000000"/>
          <w:sz w:val="20"/>
        </w:rPr>
        <w:t>On July 29, 2026 at 4:30 PM Eastern Daylight Time, the Company intends to host a conference call and webcast (the “</w:t>
      </w:r>
      <w:r>
        <w:rPr>
          <w:rFonts w:ascii="Times New Roman;serif" w:hAnsi="Times New Roman;serif"/>
          <w:b/>
          <w:color w:val="000000"/>
          <w:sz w:val="20"/>
        </w:rPr>
        <w:t>Earnings Call</w:t>
      </w:r>
      <w:r>
        <w:rPr>
          <w:color w:val="000000"/>
        </w:rPr>
        <w:t>”</w:t>
      </w:r>
      <w:r>
        <w:rPr>
          <w:rFonts w:ascii="Times New Roman;serif" w:hAnsi="Times New Roman;serif"/>
          <w:b w:val="false"/>
          <w:color w:val="000000"/>
          <w:sz w:val="20"/>
        </w:rPr>
        <w:t xml:space="preserve">) to discuss its financial and operating results for the first quarter of 2026. A copy of the slide presentation to be used by the Company in connection with the Earnings Call is attached hereto as Exhibit 99.2 and is incorporated herein by reference.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updated its investor presentation on July 29, 2026. A copy of the presentation materials is furnished as Exhibit 99.3 and is incorporated herein by reference.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information is furnished pursuant to Item 7.01, including Exhibit 99.2 attached hereto, and shall not be deemed “filed” for purposes of Section 18 of the Exchange Act, or otherwise subject to the liabilities of that section. It may only be incorporated by reference into another filing under the Exchange Act or Securities Act if such subsequent filing specifically references this Form 8-K.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11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59"/>
        <w:gridCol w:w="1959"/>
        <w:gridCol w:w="278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xg-q22026pressreleasevf4.htm">
              <w:r>
                <w:rPr>
                  <w:rStyle w:val="InternetLink"/>
                  <w:rFonts w:ascii="Times New Roman;serif" w:hAnsi="Times New Roman;serif"/>
                  <w:b w:val="false"/>
                  <w:color w:val="0000FF"/>
                  <w:sz w:val="20"/>
                  <w:u w:val="single"/>
                </w:rPr>
                <w:t>Earnings Press Release dated July 29,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_26mdxgccdeckvf5.htm">
              <w:r>
                <w:rPr>
                  <w:rStyle w:val="InternetLink"/>
                  <w:rFonts w:ascii="Times New Roman;serif" w:hAnsi="Times New Roman;serif"/>
                  <w:b w:val="false"/>
                  <w:color w:val="0000FF"/>
                  <w:sz w:val="20"/>
                  <w:u w:val="single"/>
                </w:rPr>
                <w:t>Earnings Call Presentation dated July 29,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medxinvestorpresentati.htm">
              <w:r>
                <w:rPr>
                  <w:rStyle w:val="InternetLink"/>
                  <w:rFonts w:ascii="Times New Roman;serif" w:hAnsi="Times New Roman;serif"/>
                  <w:b w:val="false"/>
                  <w:color w:val="0000FF"/>
                  <w:sz w:val="20"/>
                  <w:u w:val="single"/>
                </w:rPr>
                <w:t>Investor Presentation dated July 29,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Exchange Act, the Registrant has duly caused this report to be signed on its behalf by the undersigned hereunto duly authorized. </w:t>
      </w:r>
    </w:p>
    <w:tbl>
      <w:tblPr>
        <w:tblW w:w="3837" w:type="dxa"/>
        <w:jc w:val="left"/>
        <w:tblInd w:w="0" w:type="dxa"/>
        <w:tblLayout w:type="fixed"/>
        <w:tblCellMar>
          <w:top w:w="28" w:type="dxa"/>
          <w:left w:w="28" w:type="dxa"/>
          <w:bottom w:w="28" w:type="dxa"/>
          <w:right w:w="28" w:type="dxa"/>
        </w:tblCellMar>
      </w:tblPr>
      <w:tblGrid>
        <w:gridCol w:w="443"/>
        <w:gridCol w:w="390"/>
        <w:gridCol w:w="396"/>
        <w:gridCol w:w="134"/>
        <w:gridCol w:w="134"/>
        <w:gridCol w:w="136"/>
        <w:gridCol w:w="645"/>
        <w:gridCol w:w="645"/>
        <w:gridCol w:w="91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MIMEDX GROUP,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 Rice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 Rice</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388" w:before="0" w:after="160"/>
        <w:jc w:val="center"/>
        <w:rPr>
          <w:rFonts w:ascii="sans-serif" w:hAnsi="sans-serif"/>
          <w:b/>
          <w:color w:val="000000"/>
          <w:sz w:val="32"/>
        </w:rPr>
      </w:pPr>
      <w:r>
        <w:rPr>
          <w:rFonts w:ascii="sans-serif" w:hAnsi="sans-serif"/>
          <w:b/>
          <w:color w:val="000000"/>
          <w:sz w:val="32"/>
        </w:rPr>
        <w:t>MIMEDX Announces Second Quarter 2026 Operating &amp; Financial Results</w:t>
      </w:r>
    </w:p>
    <w:p>
      <w:pPr>
        <w:pStyle w:val="TextBody"/>
        <w:bidi w:val="0"/>
        <w:spacing w:lineRule="auto" w:line="451" w:before="0" w:after="160"/>
        <w:jc w:val="center"/>
        <w:rPr>
          <w:rFonts w:ascii="sans-serif" w:hAnsi="sans-serif"/>
          <w:b w:val="false"/>
          <w:i/>
          <w:color w:val="000000"/>
          <w:sz w:val="22"/>
        </w:rPr>
      </w:pPr>
      <w:r>
        <w:rPr>
          <w:rFonts w:ascii="sans-serif" w:hAnsi="sans-serif"/>
          <w:b w:val="false"/>
          <w:i/>
          <w:color w:val="000000"/>
          <w:sz w:val="22"/>
        </w:rPr>
        <w:t>Reports Second Quarter Net Sales of $64 Million</w:t>
      </w:r>
    </w:p>
    <w:p>
      <w:pPr>
        <w:pStyle w:val="TextBody"/>
        <w:bidi w:val="0"/>
        <w:spacing w:lineRule="auto" w:line="451" w:before="0" w:after="160"/>
        <w:jc w:val="center"/>
        <w:rPr>
          <w:rFonts w:ascii="sans-serif" w:hAnsi="sans-serif"/>
          <w:b w:val="false"/>
          <w:i/>
          <w:color w:val="000000"/>
          <w:sz w:val="22"/>
        </w:rPr>
      </w:pPr>
      <w:r>
        <w:rPr>
          <w:rFonts w:ascii="sans-serif" w:hAnsi="sans-serif"/>
          <w:b w:val="false"/>
          <w:i/>
          <w:color w:val="000000"/>
          <w:sz w:val="22"/>
        </w:rPr>
        <w:t>Reiterates Full Year Financial Outlook on a Standalone Basis</w:t>
      </w:r>
    </w:p>
    <w:p>
      <w:pPr>
        <w:pStyle w:val="TextBody"/>
        <w:bidi w:val="0"/>
        <w:spacing w:lineRule="auto" w:line="451" w:before="0" w:after="160"/>
        <w:jc w:val="center"/>
        <w:rPr>
          <w:rFonts w:ascii="sans-serif" w:hAnsi="sans-serif"/>
          <w:b w:val="false"/>
          <w:i/>
          <w:color w:val="000000"/>
          <w:sz w:val="22"/>
        </w:rPr>
      </w:pPr>
      <w:r>
        <w:rPr>
          <w:rFonts w:ascii="sans-serif" w:hAnsi="sans-serif"/>
          <w:b w:val="false"/>
          <w:i/>
          <w:color w:val="000000"/>
          <w:sz w:val="22"/>
        </w:rPr>
        <w:t>Announces Plans to Acquire Sanara MedTech</w:t>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Management to Host Conference Call Today, July 29, 2026, at 4:30 PM ET</w:t>
      </w:r>
    </w:p>
    <w:p>
      <w:pPr>
        <w:pStyle w:val="TextBody"/>
        <w:bidi w:val="0"/>
        <w:spacing w:before="0" w:after="0"/>
        <w:jc w:val="center"/>
        <w:rPr/>
      </w:pPr>
      <w:r>
        <w:rPr/>
      </w:r>
    </w:p>
    <w:p>
      <w:pPr>
        <w:pStyle w:val="TextBody"/>
        <w:bidi w:val="0"/>
        <w:spacing w:lineRule="auto" w:line="451" w:before="0" w:after="160"/>
        <w:jc w:val="left"/>
        <w:rPr/>
      </w:pPr>
      <w:r>
        <w:rPr>
          <w:rFonts w:ascii="sans-serif" w:hAnsi="sans-serif"/>
          <w:b/>
          <w:color w:val="000000"/>
          <w:sz w:val="22"/>
        </w:rPr>
        <w:t>MARIETTA, Ga., July 29, 2026</w:t>
      </w:r>
      <w:r>
        <w:rPr>
          <w:color w:val="000000"/>
        </w:rPr>
        <w:t xml:space="preserve"> </w:t>
      </w:r>
      <w:r>
        <w:rPr>
          <w:rFonts w:ascii="sans-serif" w:hAnsi="sans-serif"/>
          <w:b w:val="false"/>
          <w:color w:val="000000"/>
          <w:sz w:val="22"/>
        </w:rPr>
        <w:t>-- MiMedx Group, Inc. (Nasdaq: MDXG) (“MIMEDX” or the “Company”), today announced operating and financial results for the second quarter 2026.</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Joseph H. Capper, MIMEDX Chief Executive Officer, commented, "During the second quarter, we delivered another strong performance in our Surgical franchise, with 15% year-over-year revenue growth balanced across our sheet and particulate products. Our sustained momentum in several Surgical settings represents a meaningful, long-term growth opportunity for the Company, and we are focused on expanding into other procedures."</w:t>
      </w:r>
    </w:p>
    <w:p>
      <w:pPr>
        <w:pStyle w:val="TextBody"/>
        <w:bidi w:val="0"/>
        <w:spacing w:before="0" w:after="0"/>
        <w:jc w:val="left"/>
        <w:rPr/>
      </w:pPr>
      <w:r>
        <w:rPr/>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Mr. Capper continued, "Meanwhile, our Wound business saw positive signs of recovery during the quarter as the industry navigates adjustments in the reimbursement landscape and the resulting implications for patient care. On a sequential basis, our overall Wound volume grew 22%, with volume in hospital outpatient departments and wound care centers growing at an even higher rate. This is clear evidence of the shift in behavior we have long predicted and expect to continue, particularly as Medicare remains committed to this new payment structure into 2027."</w:t>
      </w:r>
    </w:p>
    <w:p>
      <w:pPr>
        <w:pStyle w:val="TextBody"/>
        <w:bidi w:val="0"/>
        <w:spacing w:before="0" w:after="0"/>
        <w:jc w:val="left"/>
        <w:rPr/>
      </w:pPr>
      <w:r>
        <w:rPr/>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 xml:space="preserve">"Early in the second quarter, we took swift action to right-size our expense structure for the current market environment, which yielded improving results throughout the quarter, putting us on a path back to profitability for the second half of the year. We're encouraged by our sequential progress in the near-term, and our teams continue to excel at achieving our strategic objectives. To that end, we are reiterating our full-year 2026 net sales guidance range of $260-290 million. Given the momentum of our Surgical franchise and numerous other growth drivers, we believe MIMEDX is optimally positioned to emerge from the current transition stronger than others. Additionally, with today’s announcement to acquire Sanara MedTech, we are accelerating our plan to create long-term success and shareholder value," concluded Mr. Capper. </w:t>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Second Quarter 2026 Results Discussion</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Net Sales</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MIMEDX reported net sales for the three months ended June 30, 2026 of $64 million, compared to $99 million for the three months ended June 30, 2025, a decrease of 35%. During the quarter, Surgical product sales increased 15% compared to the prior year period, led by sales of AMNIOFIX® and AMNIOEFFECT®. These results were offset by a year-over-year decrease in Wound sales of 61%. The performance of the Wound business in the quarter was negatively impacted by several Medicare reimbursement changes that went into effect on January 1.</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Gross Profit and Margin</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Gross profit for the three months ended June 30, 2026, was $44 million, compared to $80 million the prior year period. Gross margin for the three months ended June 30, 2026 was 69%, compared to 81% in the prior year period. The quarter-over-quarter decline in gross margin was driven primarily by the Medicare reimbursement rules negatively impacting the prices of our Wound products. Unfavorable product mix and other, one-time non-recurring expenses in connection with our cost reduction actions also contributed to the decline.</w:t>
      </w:r>
    </w:p>
    <w:p>
      <w:pPr>
        <w:pStyle w:val="TextBody"/>
        <w:bidi w:val="0"/>
        <w:spacing w:before="0" w:after="0"/>
        <w:jc w:val="left"/>
        <w:rPr/>
      </w:pPr>
      <w:r>
        <w:rPr/>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Operating Expenses</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Selling, general and administrative ("SG&amp;A") expenses for the three months ended June 30, 2026, were $60 million compared to $64 million for the three months ended June 30, 2025. The decrease in SG&amp;A was driven primarily by lower expenses as a result of the cost reduction initiative announced in April as well as lower commissions on lower sales. These impacts were offset by higher bad debt expense, which increased $5 million, year over year, due to the credit deterioration of certain, legacy customers.</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Research and development ("R&amp;D") expenses for the three months ended June 30, 2026 and 2025 were $3 million and $3 million, respectively. R&amp;D spend in the quarter reflects ongoing investments in the development of future products in our pipeline, including the costs associated with two 510(k) applications we made to the United States Food &amp; Drug Administration. </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Net (Loss) Income</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 xml:space="preserve">Net loss for the three months ended June 30, 2026 was $15 million compared to net income of $10 million for the three months ended June 30, 2025. </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Cash and Cash Equivalents</w:t>
      </w:r>
    </w:p>
    <w:p>
      <w:pPr>
        <w:pStyle w:val="TextBody"/>
        <w:bidi w:val="0"/>
        <w:spacing w:before="0" w:after="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As of June 30, 2026, the Company had $136 million of cash and cash equivalents compared to $166 million as of December 31, 2025. As of June 30, 2026, our cash position, net of debt on our balance sheet, was $119 million. </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MIMEDX to Acquire Sanara MedTech</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MIMEDX today also announced that it has entered into a definitive agreement to acquire all of the outstanding shares of Sanara MedTech Inc. (Nasdaq: SMTI) (“Sanara”) in a cash and stock transaction valued at $35 per Sanara share with a total enterprise value of approximately $350 million. </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 xml:space="preserve">Under the terms of the agreement, Sanara shareholders will receive $33.00 in cash and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The merger consideration represents a premium of 46% to Sanara’s 30-day volume weighted average share price as of July 28, 2026. </w:t>
      </w:r>
    </w:p>
    <w:p>
      <w:pPr>
        <w:pStyle w:val="TextBody"/>
        <w:bidi w:val="0"/>
        <w:spacing w:before="0" w:after="0"/>
        <w:jc w:val="left"/>
        <w:rPr/>
      </w:pPr>
      <w:r>
        <w:rPr/>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MIMEDX expects to finance the cash portion of the transaction through a combination of cash on hand and a new, committed debt financing in the form of a $300 million term loan, which has been secured with Hayfin Capital Management, LLP. In connection with the execution and delivery of definitive documentation with respect to the debt financing by Hayfin, MIMEDX’s existing credit agreement will be terminated and all amounts outstanding will be repaid in full.</w:t>
      </w:r>
    </w:p>
    <w:p>
      <w:pPr>
        <w:pStyle w:val="TextBody"/>
        <w:bidi w:val="0"/>
        <w:spacing w:before="0" w:after="0"/>
        <w:jc w:val="left"/>
        <w:rPr/>
      </w:pPr>
      <w:r>
        <w:rPr/>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The transaction has been unanimously approved by the board of directors of both companies and is expected to close by the end of the year, subject to approval by Sanara shareholders, the receipt of required regulatory approvals and other customary closing conditions.</w:t>
      </w:r>
    </w:p>
    <w:p>
      <w:pPr>
        <w:pStyle w:val="TextBody"/>
        <w:bidi w:val="0"/>
        <w:spacing w:before="0" w:after="0"/>
        <w:jc w:val="left"/>
        <w:rPr/>
      </w:pPr>
      <w:r>
        <w:rPr/>
      </w:r>
    </w:p>
    <w:p>
      <w:pPr>
        <w:pStyle w:val="TextBody"/>
        <w:bidi w:val="0"/>
        <w:spacing w:lineRule="auto" w:line="451" w:before="0" w:after="0"/>
        <w:jc w:val="left"/>
        <w:rPr>
          <w:rFonts w:ascii="sans-serif" w:hAnsi="sans-serif"/>
          <w:b/>
          <w:color w:val="000000"/>
          <w:sz w:val="22"/>
        </w:rPr>
      </w:pPr>
      <w:r>
        <w:rPr>
          <w:rFonts w:ascii="sans-serif" w:hAnsi="sans-serif"/>
          <w:b/>
          <w:color w:val="000000"/>
          <w:sz w:val="22"/>
        </w:rPr>
        <w:t>Financial Outlook</w:t>
      </w:r>
    </w:p>
    <w:p>
      <w:pPr>
        <w:pStyle w:val="TextBody"/>
        <w:bidi w:val="0"/>
        <w:spacing w:lineRule="auto" w:line="451" w:before="0" w:after="0"/>
        <w:jc w:val="left"/>
        <w:rPr/>
      </w:pPr>
      <w:r>
        <w:rPr>
          <w:rFonts w:ascii="sans-serif" w:hAnsi="sans-serif"/>
          <w:b w:val="false"/>
          <w:color w:val="000000"/>
          <w:sz w:val="22"/>
        </w:rPr>
        <w:t>For 2026, MIMEDX continues to expect 2026 net sales to be in a range of $260 to $290 million. 2026 Adjusted EBITDA is expected to approach breakeven on a full year basis.</w:t>
      </w:r>
      <w:r>
        <w:rPr>
          <w:color w:val="000000"/>
        </w:rPr>
        <w:t xml:space="preserve"> </w:t>
      </w:r>
    </w:p>
    <w:p>
      <w:pPr>
        <w:pStyle w:val="TextBody"/>
        <w:bidi w:val="0"/>
        <w:spacing w:before="0" w:after="0"/>
        <w:jc w:val="left"/>
        <w:rPr/>
      </w:pPr>
      <w:r>
        <w:rPr/>
      </w:r>
    </w:p>
    <w:p>
      <w:pPr>
        <w:pStyle w:val="TextBody"/>
        <w:bidi w:val="0"/>
        <w:spacing w:lineRule="auto" w:line="451" w:before="0" w:after="0"/>
        <w:jc w:val="left"/>
        <w:rPr>
          <w:rFonts w:ascii="sans-serif" w:hAnsi="sans-serif"/>
          <w:b w:val="false"/>
          <w:color w:val="000000"/>
          <w:sz w:val="24"/>
          <w:shd w:fill="FFFFFF" w:val="clear"/>
        </w:rPr>
      </w:pPr>
      <w:r>
        <w:rPr>
          <w:rFonts w:ascii="sans-serif" w:hAnsi="sans-serif"/>
          <w:b w:val="false"/>
          <w:color w:val="000000"/>
          <w:sz w:val="24"/>
          <w:shd w:fill="FFFFFF" w:val="clear"/>
        </w:rPr>
        <w:t>Longer-term, the Company continues to expect to achieve annual net sales growth in the low double-digits with an adjusted EBITDA margin above 20%.</w:t>
      </w:r>
    </w:p>
    <w:p>
      <w:pPr>
        <w:pStyle w:val="TextBody"/>
        <w:bidi w:val="0"/>
        <w:spacing w:before="0" w:after="0"/>
        <w:jc w:val="left"/>
        <w:rPr/>
      </w:pPr>
      <w:r>
        <w:rPr/>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Conference Call and Webcast</w:t>
      </w:r>
    </w:p>
    <w:p>
      <w:pPr>
        <w:pStyle w:val="TextBody"/>
        <w:bidi w:val="0"/>
        <w:spacing w:before="0" w:after="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MIMEDX will host a conference call and webcast to review its second quarter 2026 results on Wednesday, July 29, 2026, beginning at 4:30 p.m., Eastern Time. The call can be accessed using the following information:</w:t>
      </w:r>
    </w:p>
    <w:p>
      <w:pPr>
        <w:pStyle w:val="TextBody"/>
        <w:bidi w:val="0"/>
        <w:spacing w:lineRule="auto" w:line="369" w:before="0" w:after="0"/>
        <w:jc w:val="left"/>
        <w:rPr>
          <w:rFonts w:ascii="sans-serif" w:hAnsi="sans-serif"/>
          <w:b/>
          <w:color w:val="000000"/>
          <w:sz w:val="22"/>
        </w:rPr>
      </w:pPr>
      <w:r>
        <w:rPr>
          <w:rFonts w:ascii="sans-serif" w:hAnsi="sans-serif"/>
          <w:b/>
          <w:color w:val="000000"/>
          <w:sz w:val="22"/>
        </w:rPr>
        <w:t xml:space="preserve">Webcast: Click here </w:t>
      </w:r>
    </w:p>
    <w:p>
      <w:pPr>
        <w:pStyle w:val="TextBody"/>
        <w:bidi w:val="0"/>
        <w:spacing w:lineRule="auto" w:line="369" w:before="0" w:after="0"/>
        <w:jc w:val="left"/>
        <w:rPr>
          <w:rFonts w:ascii="sans-serif" w:hAnsi="sans-serif"/>
          <w:b/>
          <w:color w:val="000000"/>
          <w:sz w:val="22"/>
        </w:rPr>
      </w:pPr>
      <w:r>
        <w:rPr>
          <w:rFonts w:ascii="sans-serif" w:hAnsi="sans-serif"/>
          <w:b/>
          <w:color w:val="000000"/>
          <w:sz w:val="22"/>
        </w:rPr>
        <w:t>U.S. Investors: 877-407-6184</w:t>
      </w:r>
    </w:p>
    <w:p>
      <w:pPr>
        <w:pStyle w:val="TextBody"/>
        <w:bidi w:val="0"/>
        <w:spacing w:lineRule="auto" w:line="369" w:before="0" w:after="0"/>
        <w:jc w:val="left"/>
        <w:rPr>
          <w:rFonts w:ascii="sans-serif" w:hAnsi="sans-serif"/>
          <w:b/>
          <w:color w:val="000000"/>
          <w:sz w:val="22"/>
        </w:rPr>
      </w:pPr>
      <w:r>
        <w:rPr>
          <w:rFonts w:ascii="sans-serif" w:hAnsi="sans-serif"/>
          <w:b/>
          <w:color w:val="000000"/>
          <w:sz w:val="22"/>
        </w:rPr>
        <w:t>International Investors: 201-389-0877</w:t>
      </w:r>
    </w:p>
    <w:p>
      <w:pPr>
        <w:pStyle w:val="TextBody"/>
        <w:bidi w:val="0"/>
        <w:spacing w:lineRule="auto" w:line="369" w:before="0" w:after="160"/>
        <w:jc w:val="left"/>
        <w:rPr>
          <w:rFonts w:ascii="sans-serif" w:hAnsi="sans-serif"/>
          <w:b/>
          <w:color w:val="000000"/>
          <w:sz w:val="22"/>
        </w:rPr>
      </w:pPr>
      <w:r>
        <w:rPr>
          <w:rFonts w:ascii="sans-serif" w:hAnsi="sans-serif"/>
          <w:b/>
          <w:color w:val="000000"/>
          <w:sz w:val="22"/>
        </w:rPr>
        <w:t>Conference ID: 13761338</w:t>
      </w:r>
    </w:p>
    <w:p>
      <w:pPr>
        <w:pStyle w:val="TextBody"/>
        <w:bidi w:val="0"/>
        <w:spacing w:lineRule="auto" w:line="451" w:before="0" w:after="160"/>
        <w:jc w:val="left"/>
        <w:rPr/>
      </w:pPr>
      <w:r>
        <w:rPr>
          <w:rFonts w:ascii="sans-serif" w:hAnsi="sans-serif"/>
          <w:b w:val="false"/>
          <w:color w:val="000000"/>
          <w:sz w:val="22"/>
        </w:rPr>
        <w:t xml:space="preserve">A replay of the webcast will be available for approximately 30 days on the Company’s website at </w:t>
      </w:r>
      <w:r>
        <w:rPr>
          <w:rFonts w:ascii="sans-serif" w:hAnsi="sans-serif"/>
          <w:b w:val="false"/>
          <w:color w:val="0000FF"/>
          <w:sz w:val="22"/>
          <w:u w:val="single"/>
        </w:rPr>
        <w:t>www.mimedx.com</w:t>
      </w:r>
      <w:r>
        <w:rPr>
          <w:color w:val="000000"/>
        </w:rPr>
        <w:t xml:space="preserve"> </w:t>
      </w:r>
      <w:r>
        <w:rPr>
          <w:rFonts w:ascii="sans-serif" w:hAnsi="sans-serif"/>
          <w:b w:val="false"/>
          <w:color w:val="000000"/>
          <w:sz w:val="22"/>
        </w:rPr>
        <w:t>following the conclusion of the event.</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 xml:space="preserve">Important Cautionary Statement </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 xml:space="preserve">This press release includes forward-looking statements, including statements regarding (i) our 2026 and longer term financial goals and expectations for future financial results, including revenue, net sales growth and Adjusted EBITDA margin; (ii) growth opportunities, including in the Surgical setting; (iii) the continued impact of the Medicare reimbursement changes on our Wound Business; ; (iv) the impact of our restructuring and cost reduction initiatives, including expected cost savings, on our future profitability and growth; and (v) our agreement to acquire Sanara, including the expected benefits of the acquisition, expected closing date and the funding sources for the acquisition consideration.. Additional forward-looking statements may be identified by words such as "believe," "expect," "may," "plan," “goal,” “outlook,” "potential," "will," "preliminary," and similar expressions, and are based on management's current beliefs and expectations. </w:t>
      </w:r>
    </w:p>
    <w:p>
      <w:pPr>
        <w:pStyle w:val="TextBody"/>
        <w:bidi w:val="0"/>
        <w:spacing w:before="0" w:after="0"/>
        <w:jc w:val="left"/>
        <w:rPr/>
      </w:pPr>
      <w:r>
        <w:rPr/>
      </w:r>
    </w:p>
    <w:p>
      <w:pPr>
        <w:pStyle w:val="TextBody"/>
        <w:bidi w:val="0"/>
        <w:spacing w:lineRule="auto" w:line="451"/>
        <w:jc w:val="left"/>
        <w:rPr>
          <w:rFonts w:ascii="sans-serif" w:hAnsi="sans-serif"/>
          <w:b w:val="false"/>
          <w:color w:val="000000"/>
          <w:sz w:val="22"/>
        </w:rPr>
      </w:pPr>
      <w:r>
        <w:rPr>
          <w:rFonts w:ascii="sans-serif" w:hAnsi="sans-serif"/>
          <w:b w:val="false"/>
          <w:color w:val="000000"/>
          <w:sz w:val="22"/>
        </w:rPr>
        <w:t xml:space="preserve">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new reimbursement environment, which introduced tighter coverage parameters, lower reimbursement levels in certain categories, and incremental administrative complexity for providers and many other factors; (ii) the Company may change its plans due to unforeseen or evolving circumstances and market response to the reimbursement rules; (iii) the results of scientific research are uncertain and may have little or no value; (iv) our ability to sell our products in other countries depends on a number of factors including adequate levels of reimbursement, market acceptance of novel therapies, and our ability to build and manage a direct sales force or third party distribution relationship; (v) the effectiveness of amniotic tissue as a therapy for particular indications or </w:t>
      </w:r>
    </w:p>
    <w:p>
      <w:pPr>
        <w:pStyle w:val="TextBody"/>
        <w:bidi w:val="0"/>
        <w:spacing w:before="0" w:after="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conditions is the subject of further scientific and clinical studies; (vi) we may alter the timing and amount of planned expenditures for research and development based on regulatory developments; (vii) Medicare spending; (viii) changes in the size of the addressable market for our products and (ix) the inability of the Company to successfully or timely consummate the acquisition of Sanara or, if consummated, failure to realize the anticipated benefits of the acquisition of Sanara. The Company describes additional risks and uncertainties in the Risk Factors section of its most recent annual report and quarterly reports filed with the Securities and Exchange Commission. Any forward-looking statements speak only as of the date of this press release and the Company assumes no obligation to update any forward-looking statement.</w:t>
      </w:r>
    </w:p>
    <w:p>
      <w:pPr>
        <w:pStyle w:val="TextBody"/>
        <w:bidi w:val="0"/>
        <w:spacing w:before="0" w:after="0"/>
        <w:jc w:val="left"/>
        <w:rPr/>
      </w:pPr>
      <w:r>
        <w:rPr/>
      </w:r>
    </w:p>
    <w:p>
      <w:pPr>
        <w:pStyle w:val="TextBody"/>
        <w:bidi w:val="0"/>
        <w:spacing w:lineRule="auto" w:line="556" w:before="0" w:after="160"/>
        <w:jc w:val="left"/>
        <w:rPr>
          <w:rFonts w:ascii="sans-serif" w:hAnsi="sans-serif"/>
          <w:b/>
          <w:color w:val="000000"/>
          <w:sz w:val="22"/>
        </w:rPr>
      </w:pPr>
      <w:r>
        <w:rPr>
          <w:rFonts w:ascii="sans-serif" w:hAnsi="sans-serif"/>
          <w:b/>
          <w:color w:val="000000"/>
          <w:sz w:val="22"/>
        </w:rPr>
        <w:t xml:space="preserve">Important Information and Where to Find It </w:t>
      </w:r>
    </w:p>
    <w:p>
      <w:pPr>
        <w:pStyle w:val="TextBody"/>
        <w:bidi w:val="0"/>
        <w:spacing w:lineRule="auto" w:line="556" w:before="0" w:after="160"/>
        <w:jc w:val="left"/>
        <w:rPr>
          <w:rFonts w:ascii="sans-serif" w:hAnsi="sans-serif"/>
          <w:b w:val="false"/>
          <w:color w:val="000000"/>
          <w:sz w:val="22"/>
        </w:rPr>
      </w:pPr>
      <w:r>
        <w:rPr>
          <w:rFonts w:ascii="sans-serif" w:hAnsi="sans-serif"/>
          <w:b w:val="false"/>
          <w:color w:val="000000"/>
          <w:sz w:val="22"/>
        </w:rPr>
        <w:t>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https://ir.sanaramedtech.com/.</w:t>
      </w:r>
    </w:p>
    <w:p>
      <w:pPr>
        <w:pStyle w:val="TextBody"/>
        <w:bidi w:val="0"/>
        <w:spacing w:before="0" w:after="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160"/>
        <w:jc w:val="left"/>
        <w:rPr>
          <w:rFonts w:ascii="sans-serif" w:hAnsi="sans-serif"/>
          <w:b/>
          <w:color w:val="000000"/>
          <w:sz w:val="22"/>
        </w:rPr>
      </w:pPr>
      <w:r>
        <w:rPr>
          <w:rFonts w:ascii="sans-serif" w:hAnsi="sans-serif"/>
          <w:b/>
          <w:color w:val="000000"/>
          <w:sz w:val="22"/>
        </w:rPr>
        <w:t xml:space="preserve">Participants in the Solicitation </w:t>
      </w:r>
    </w:p>
    <w:p>
      <w:pPr>
        <w:pStyle w:val="TextBody"/>
        <w:bidi w:val="0"/>
        <w:spacing w:lineRule="auto" w:line="556" w:before="0" w:after="160"/>
        <w:jc w:val="both"/>
        <w:rPr>
          <w:rFonts w:ascii="sans-serif" w:hAnsi="sans-serif"/>
          <w:b w:val="false"/>
          <w:color w:val="000000"/>
          <w:sz w:val="22"/>
        </w:rPr>
      </w:pPr>
      <w:r>
        <w:rPr>
          <w:rFonts w:ascii="sans-serif" w:hAnsi="sans-serif"/>
          <w:b w:val="false"/>
          <w:color w:val="000000"/>
          <w:sz w:val="22"/>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 ’s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 </w:t>
      </w:r>
    </w:p>
    <w:p>
      <w:pPr>
        <w:pStyle w:val="TextBody"/>
        <w:bidi w:val="0"/>
        <w:spacing w:lineRule="auto" w:line="556" w:before="0" w:after="160"/>
        <w:jc w:val="both"/>
        <w:rPr>
          <w:rFonts w:ascii="sans-serif" w:hAnsi="sans-serif"/>
          <w:b/>
          <w:color w:val="000000"/>
          <w:sz w:val="22"/>
        </w:rPr>
      </w:pPr>
      <w:r>
        <w:rPr>
          <w:rFonts w:ascii="sans-serif" w:hAnsi="sans-serif"/>
          <w:b/>
          <w:color w:val="000000"/>
          <w:sz w:val="22"/>
        </w:rPr>
        <w:t>No Offer or Solicitation</w:t>
      </w:r>
    </w:p>
    <w:p>
      <w:pPr>
        <w:pStyle w:val="TextBody"/>
        <w:bidi w:val="0"/>
        <w:spacing w:lineRule="auto" w:line="556" w:before="0" w:after="160"/>
        <w:jc w:val="both"/>
        <w:rPr>
          <w:color w:val="000000"/>
        </w:rPr>
      </w:pPr>
      <w:r>
        <w:rPr>
          <w:color w:val="000000"/>
        </w:rPr>
        <w:t> </w:t>
      </w:r>
      <w:r>
        <w:rPr>
          <w:rFonts w:ascii="sans-serif" w:hAnsi="sans-serif"/>
          <w:b w:val="false"/>
          <w:color w:val="000000"/>
          <w:sz w:val="22"/>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About MIMEDX</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MIMEDX is a pioneer and leader focused on helping humans heal. With more than a decade of helping clinicians manage chronic and other hard-to-heal wounds, MIMEDX is dedicated to providing a leading portfolio of products for applications in the wound care, burn, and surgical sectors of healthcare. The Company’s vision is to be the leading global provider of healing solutions through relentless innovation to restore quality of life. For additional information, please visit www.mimedx.com.</w:t>
      </w:r>
    </w:p>
    <w:p>
      <w:pPr>
        <w:pStyle w:val="TextBody"/>
        <w:bidi w:val="0"/>
        <w:spacing w:before="0" w:after="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2"/>
        <w:jc w:val="left"/>
        <w:rPr>
          <w:rFonts w:ascii="sans-serif" w:hAnsi="sans-serif"/>
          <w:b/>
          <w:color w:val="000000"/>
          <w:sz w:val="22"/>
        </w:rPr>
      </w:pPr>
      <w:r>
        <w:rPr>
          <w:rFonts w:ascii="sans-serif" w:hAnsi="sans-serif"/>
          <w:b/>
          <w:color w:val="000000"/>
          <w:sz w:val="22"/>
        </w:rPr>
        <w:t>Contact:</w:t>
      </w:r>
    </w:p>
    <w:p>
      <w:pPr>
        <w:pStyle w:val="TextBody"/>
        <w:bidi w:val="0"/>
        <w:spacing w:lineRule="auto" w:line="451" w:before="0" w:after="2"/>
        <w:jc w:val="left"/>
        <w:rPr>
          <w:rFonts w:ascii="sans-serif" w:hAnsi="sans-serif"/>
          <w:b w:val="false"/>
          <w:color w:val="000000"/>
          <w:sz w:val="22"/>
        </w:rPr>
      </w:pPr>
      <w:r>
        <w:rPr>
          <w:rFonts w:ascii="sans-serif" w:hAnsi="sans-serif"/>
          <w:b w:val="false"/>
          <w:color w:val="000000"/>
          <w:sz w:val="22"/>
        </w:rPr>
        <w:t>Matt Notarianni</w:t>
      </w:r>
    </w:p>
    <w:p>
      <w:pPr>
        <w:pStyle w:val="TextBody"/>
        <w:bidi w:val="0"/>
        <w:spacing w:lineRule="auto" w:line="451" w:before="0" w:after="2"/>
        <w:jc w:val="left"/>
        <w:rPr>
          <w:rFonts w:ascii="sans-serif" w:hAnsi="sans-serif"/>
          <w:b w:val="false"/>
          <w:color w:val="000000"/>
          <w:sz w:val="22"/>
        </w:rPr>
      </w:pPr>
      <w:r>
        <w:rPr>
          <w:rFonts w:ascii="sans-serif" w:hAnsi="sans-serif"/>
          <w:b w:val="false"/>
          <w:color w:val="000000"/>
          <w:sz w:val="22"/>
        </w:rPr>
        <w:t>Investor Relations</w:t>
      </w:r>
    </w:p>
    <w:p>
      <w:pPr>
        <w:pStyle w:val="TextBody"/>
        <w:bidi w:val="0"/>
        <w:spacing w:lineRule="auto" w:line="451" w:before="0" w:after="2"/>
        <w:jc w:val="left"/>
        <w:rPr>
          <w:rFonts w:ascii="sans-serif" w:hAnsi="sans-serif"/>
          <w:b w:val="false"/>
          <w:color w:val="000000"/>
          <w:sz w:val="22"/>
        </w:rPr>
      </w:pPr>
      <w:r>
        <w:rPr>
          <w:rFonts w:ascii="sans-serif" w:hAnsi="sans-serif"/>
          <w:b w:val="false"/>
          <w:color w:val="000000"/>
          <w:sz w:val="22"/>
        </w:rPr>
        <w:t>470.304.7291</w:t>
      </w:r>
    </w:p>
    <w:p>
      <w:pPr>
        <w:pStyle w:val="TextBody"/>
        <w:bidi w:val="0"/>
        <w:spacing w:lineRule="auto" w:line="451" w:before="0" w:after="2"/>
        <w:jc w:val="left"/>
        <w:rPr>
          <w:rFonts w:ascii="sans-serif" w:hAnsi="sans-serif"/>
          <w:b w:val="false"/>
          <w:color w:val="0000FF"/>
          <w:sz w:val="22"/>
          <w:u w:val="single"/>
        </w:rPr>
      </w:pPr>
      <w:r>
        <w:rPr>
          <w:rFonts w:ascii="sans-serif" w:hAnsi="sans-serif"/>
          <w:b w:val="false"/>
          <w:color w:val="0000FF"/>
          <w:sz w:val="22"/>
          <w:u w:val="single"/>
        </w:rPr>
        <w:t>mnotarianni@mimedx.com</w:t>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Selected Unaudited Financial Information</w:t>
      </w:r>
    </w:p>
    <w:tbl>
      <w:tblPr>
        <w:tblW w:w="8576" w:type="dxa"/>
        <w:jc w:val="left"/>
        <w:tblInd w:w="0" w:type="dxa"/>
        <w:tblLayout w:type="fixed"/>
        <w:tblCellMar>
          <w:top w:w="28" w:type="dxa"/>
          <w:left w:w="28" w:type="dxa"/>
          <w:bottom w:w="28" w:type="dxa"/>
          <w:right w:w="28" w:type="dxa"/>
        </w:tblCellMar>
      </w:tblPr>
      <w:tblGrid>
        <w:gridCol w:w="1521"/>
        <w:gridCol w:w="1332"/>
        <w:gridCol w:w="1332"/>
        <w:gridCol w:w="933"/>
        <w:gridCol w:w="370"/>
        <w:gridCol w:w="370"/>
        <w:gridCol w:w="370"/>
        <w:gridCol w:w="370"/>
        <w:gridCol w:w="370"/>
        <w:gridCol w:w="490"/>
        <w:gridCol w:w="490"/>
        <w:gridCol w:w="628"/>
      </w:tblGrid>
      <w:tr>
        <w:trPr/>
        <w:tc>
          <w:tcPr>
            <w:tcW w:w="152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85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MiMedx Group, Inc.</w:t>
            </w:r>
          </w:p>
        </w:tc>
      </w:tr>
      <w:tr>
        <w:trPr/>
        <w:tc>
          <w:tcPr>
            <w:tcW w:w="85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Condensed Consolidated Balance Sheets</w:t>
            </w:r>
          </w:p>
        </w:tc>
      </w:tr>
      <w:tr>
        <w:trPr/>
        <w:tc>
          <w:tcPr>
            <w:tcW w:w="85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thousands) Unaudited</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sans-serif" w:hAnsi="sans-serif"/>
                <w:b w:val="false"/>
                <w:color w:val="000000"/>
                <w:sz w:val="20"/>
              </w:rPr>
              <w:t>June 30,</w:t>
            </w:r>
            <w:r>
              <w:rPr>
                <w:rFonts w:ascii="Times New Roman;serif" w:hAnsi="Times New Roman;serif"/>
                <w:b w:val="false"/>
                <w:color w:val="000000"/>
                <w:sz w:val="20"/>
              </w:rPr>
              <w:br/>
            </w:r>
            <w:r>
              <w:rPr>
                <w:rFonts w:ascii="sans-serif" w:hAnsi="sans-serif"/>
                <w:b w:val="false"/>
                <w:color w:val="000000"/>
                <w:sz w:val="20"/>
              </w:rPr>
              <w:t>2026</w:t>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sans-serif" w:hAnsi="sans-serif"/>
                <w:b w:val="false"/>
                <w:color w:val="000000"/>
                <w:sz w:val="20"/>
              </w:rPr>
              <w:t>December 31,</w:t>
            </w:r>
            <w:r>
              <w:rPr>
                <w:rFonts w:ascii="Times New Roman;serif" w:hAnsi="Times New Roman;serif"/>
                <w:b w:val="false"/>
                <w:color w:val="000000"/>
                <w:sz w:val="20"/>
              </w:rPr>
              <w:br/>
            </w:r>
            <w:r>
              <w:rPr>
                <w:rFonts w:ascii="sans-serif" w:hAnsi="sans-serif"/>
                <w:b w:val="false"/>
                <w:color w:val="000000"/>
                <w:sz w:val="20"/>
              </w:rPr>
              <w:t>2025</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ASSETS</w:t>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    135,839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    166,121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 net</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41,297    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75,707    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20,931    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25,340    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10,303    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205,365    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277,471    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4,914    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4,713    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tax asset, net</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27,295    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19,596    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19,441    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19,441    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12,086    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14,158    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assets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11,897    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7,274    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280,998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342,653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LIABILITIES AND STOCKHOLDERS’ EQUITY</w:t>
            </w:r>
          </w:p>
        </w:tc>
        <w:tc>
          <w:tcPr>
            <w:tcW w:w="16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long term debt</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    1,500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    1,500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8,293    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14,528    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compensation</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13,175    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31,065    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11,140    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11,383    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4,390    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5,790    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38,498    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64,266    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 term debt, net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15,706 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16,467    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liabilities</w:t>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10,791    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5,372    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1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64,995    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86,105    </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216,003    </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256,548    </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stockholders’ equity</w:t>
            </w:r>
          </w:p>
        </w:tc>
        <w:tc>
          <w:tcPr>
            <w:tcW w:w="16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280,998    </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342,653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3"/>
        <w:gridCol w:w="730"/>
        <w:gridCol w:w="281"/>
        <w:gridCol w:w="989"/>
        <w:gridCol w:w="462"/>
        <w:gridCol w:w="335"/>
        <w:gridCol w:w="127"/>
        <w:gridCol w:w="127"/>
        <w:gridCol w:w="127"/>
        <w:gridCol w:w="989"/>
        <w:gridCol w:w="462"/>
        <w:gridCol w:w="335"/>
        <w:gridCol w:w="121"/>
        <w:gridCol w:w="121"/>
        <w:gridCol w:w="121"/>
        <w:gridCol w:w="877"/>
        <w:gridCol w:w="575"/>
        <w:gridCol w:w="334"/>
        <w:gridCol w:w="124"/>
        <w:gridCol w:w="124"/>
        <w:gridCol w:w="124"/>
        <w:gridCol w:w="834"/>
        <w:gridCol w:w="547"/>
        <w:gridCol w:w="456"/>
      </w:tblGrid>
      <w:tr>
        <w:trPr/>
        <w:tc>
          <w:tcPr>
            <w:tcW w:w="88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MiMedx Group,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thousands, except share and per share amounts) Unaudited</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sales</w:t>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64,362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98,605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123,353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186,810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19,981    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18,681    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37,348    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35,239    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44,381    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79,924    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86,005    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151,571    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expenses:</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59,779    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64,151    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113,010    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124,120    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2,777    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3,303    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6,917    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6,632    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intangible assets</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291    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100    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592    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199    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(18,466)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12,370    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(34,514)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color w:val="000000"/>
              </w:rPr>
            </w:pPr>
            <w:r>
              <w:rPr>
                <w:color w:val="000000"/>
              </w:rPr>
              <w:t>    </w:t>
            </w:r>
            <w:r>
              <w:rPr>
                <w:rFonts w:ascii="sans-serif" w:hAnsi="sans-serif"/>
                <w:b w:val="false"/>
                <w:color w:val="000000"/>
                <w:sz w:val="20"/>
              </w:rPr>
              <w:t>20,620    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expense, net</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 net</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788    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738    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1,673    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1,244    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expense, net</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(102)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(101)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(270)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(247)</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income before income tax</w:t>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(17,780)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13,007    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(33,111)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21,617    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Income tax benefit (provision) </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2,940    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(3,389)</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7,411    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(4,978)</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income</w:t>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(14,840)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9,618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(25,700)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16,639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net (loss) income per common share</w:t>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0.07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0.11    </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net (loss) income per common share</w:t>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0.06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0.11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basic</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147,795,741    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147,761,332    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148,119,083    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147,518,179    </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diluted</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147,795,741    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149,317,281    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148,119,083    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149,529,544    </w:t>
            </w:r>
          </w:p>
        </w:tc>
      </w:tr>
    </w:tbl>
    <w:p>
      <w:pPr>
        <w:pStyle w:val="TextBody"/>
        <w:bidi w:val="0"/>
        <w:spacing w:before="0" w:after="0"/>
        <w:jc w:val="center"/>
        <w:rPr/>
      </w:pPr>
      <w:r>
        <w:rPr/>
      </w:r>
    </w:p>
    <w:p>
      <w:pPr>
        <w:pStyle w:val="TextBody"/>
        <w:bidi w:val="0"/>
        <w:spacing w:before="0" w:after="0"/>
        <w:jc w:val="center"/>
        <w:rPr/>
      </w:pPr>
      <w:r>
        <w:rPr/>
      </w:r>
    </w:p>
    <w:tbl>
      <w:tblPr>
        <w:tblW w:w="10065" w:type="dxa"/>
        <w:jc w:val="left"/>
        <w:tblInd w:w="0" w:type="dxa"/>
        <w:tblLayout w:type="fixed"/>
        <w:tblCellMar>
          <w:top w:w="28" w:type="dxa"/>
          <w:left w:w="28" w:type="dxa"/>
          <w:bottom w:w="28" w:type="dxa"/>
          <w:right w:w="28" w:type="dxa"/>
        </w:tblCellMar>
      </w:tblPr>
      <w:tblGrid>
        <w:gridCol w:w="2069"/>
        <w:gridCol w:w="1808"/>
        <w:gridCol w:w="1808"/>
        <w:gridCol w:w="465"/>
        <w:gridCol w:w="465"/>
        <w:gridCol w:w="465"/>
        <w:gridCol w:w="465"/>
        <w:gridCol w:w="465"/>
        <w:gridCol w:w="465"/>
        <w:gridCol w:w="465"/>
        <w:gridCol w:w="465"/>
        <w:gridCol w:w="660"/>
      </w:tblGrid>
      <w:tr>
        <w:trPr/>
        <w:tc>
          <w:tcPr>
            <w:tcW w:w="206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00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MiMedx Group, Inc.</w:t>
            </w:r>
          </w:p>
        </w:tc>
      </w:tr>
      <w:tr>
        <w:trPr/>
        <w:tc>
          <w:tcPr>
            <w:tcW w:w="100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Condensed Consolidated Statements of Cash Flows</w:t>
            </w:r>
          </w:p>
        </w:tc>
      </w:tr>
      <w:tr>
        <w:trPr/>
        <w:tc>
          <w:tcPr>
            <w:tcW w:w="100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 thousands) Unaudited</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Net cash flows (used in) provided by operating activities </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(8,136)</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19,718    </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flows used in investing activities</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(6,277)</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(1,293)</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flows used in financing activities</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(15,869)</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(3,972)</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change in cash</w:t>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(30,282)</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14,453    </w:t>
            </w:r>
          </w:p>
        </w:tc>
      </w:tr>
    </w:tbl>
    <w:p>
      <w:pPr>
        <w:pStyle w:val="TextBody"/>
        <w:bidi w:val="0"/>
        <w:spacing w:before="0" w:after="0"/>
        <w:jc w:val="left"/>
        <w:rPr/>
      </w:pPr>
      <w:r>
        <w:rPr/>
      </w:r>
    </w:p>
    <w:p>
      <w:pPr>
        <w:pStyle w:val="TextBody"/>
        <w:bidi w:val="0"/>
        <w:spacing w:lineRule="auto" w:line="333" w:before="0" w:after="160"/>
        <w:jc w:val="left"/>
        <w:rPr>
          <w:rFonts w:ascii="sans-serif" w:hAnsi="sans-serif"/>
          <w:b/>
          <w:color w:val="000000"/>
          <w:sz w:val="22"/>
        </w:rPr>
      </w:pPr>
      <w:r>
        <w:rPr>
          <w:rFonts w:ascii="sans-serif" w:hAnsi="sans-serif"/>
          <w:b/>
          <w:color w:val="000000"/>
          <w:sz w:val="22"/>
        </w:rPr>
        <w:t>Reconciliation of Non-GAAP Measures</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In addition to our GAAP results, we provide certain non-GAAP measures including Adjusted EBITDA and related margins, Free Cash Flow, Adjusted Gross Profit, Adjusted Gross Margin, Adjusted Net Income, </w:t>
      </w:r>
    </w:p>
    <w:p>
      <w:pPr>
        <w:pStyle w:val="TextBody"/>
        <w:bidi w:val="0"/>
        <w:spacing w:before="0" w:after="0"/>
        <w:jc w:val="center"/>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and Adjusted Earnings Per Share ("Adjusted EPS"). We believe that the presentation of these measures provides important supplemental information to management and investors regarding our performance. These measures are not a substitute for GAAP measures. Company management uses these non-GAAP measures as aids in monitoring our ongoing financial performance from quarter-to-quarter and year-to-year on a regular basis and for benchmarking against comparable companies. </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These non-GAAP financial measures reflect the exclusion of the following items:</w:t>
      </w:r>
    </w:p>
    <w:p>
      <w:pPr>
        <w:pStyle w:val="TextBody"/>
        <w:bidi w:val="0"/>
        <w:spacing w:lineRule="auto" w:line="451" w:before="0" w:after="160"/>
        <w:ind w:left="0" w:right="0" w:hanging="360"/>
        <w:jc w:val="left"/>
        <w:rPr/>
      </w:pPr>
      <w:r>
        <w:rPr>
          <w:color w:val="000000"/>
        </w:rPr>
        <w:t>•</w:t>
      </w:r>
      <w:r>
        <w:rPr>
          <w:rFonts w:ascii="sans-serif" w:hAnsi="sans-serif"/>
          <w:b w:val="false"/>
          <w:color w:val="000000"/>
          <w:sz w:val="22"/>
        </w:rPr>
        <w:t xml:space="preserve">Share-based compensation - expense recognized related to awards to employees and our board of directors issued pursuant to our share-based compensation plans. This expense is reflected amongst cost of sales, research and development expense, and selling, general, and administrative expense in the unaudited condensed consolidated statements of operations. </w:t>
      </w:r>
    </w:p>
    <w:p>
      <w:pPr>
        <w:pStyle w:val="TextBody"/>
        <w:bidi w:val="0"/>
        <w:spacing w:lineRule="auto" w:line="451" w:before="0" w:after="160"/>
        <w:ind w:left="0" w:right="0" w:hanging="360"/>
        <w:jc w:val="left"/>
        <w:rPr/>
      </w:pPr>
      <w:r>
        <w:rPr>
          <w:color w:val="000000"/>
        </w:rPr>
        <w:t>•</w:t>
      </w:r>
      <w:r>
        <w:rPr>
          <w:rFonts w:ascii="sans-serif" w:hAnsi="sans-serif"/>
          <w:b w:val="false"/>
          <w:color w:val="000000"/>
          <w:sz w:val="22"/>
        </w:rPr>
        <w:t>Amortization of acquired intangible assets - reflects amortization expense recognized solely related to assets which were acquired as part of a transaction. These expenses are generally reflected in cost of sales in our unaudited condensed consolidated statements of operations.</w:t>
      </w:r>
    </w:p>
    <w:p>
      <w:pPr>
        <w:pStyle w:val="TextBody"/>
        <w:bidi w:val="0"/>
        <w:spacing w:lineRule="auto" w:line="451" w:before="0" w:after="0"/>
        <w:ind w:left="0" w:right="0" w:hanging="360"/>
        <w:jc w:val="left"/>
        <w:rPr/>
      </w:pPr>
      <w:r>
        <w:rPr>
          <w:color w:val="000000"/>
        </w:rPr>
        <w:t>•</w:t>
      </w:r>
      <w:r>
        <w:rPr>
          <w:rFonts w:ascii="sans-serif" w:hAnsi="sans-serif"/>
          <w:b w:val="false"/>
          <w:color w:val="000000"/>
          <w:sz w:val="22"/>
        </w:rPr>
        <w:t>Transaction-related expenses – reflects expenses incrementally incurred resulting from the consummation of material strategic transactions or the integration of acquired assets or operations into our core business. These expenses are generally reflected in selling, general and administrative expense and other expense, net in our unaudited condensed consolidated statements of operations.</w:t>
      </w:r>
    </w:p>
    <w:p>
      <w:pPr>
        <w:pStyle w:val="TextBody"/>
        <w:bidi w:val="0"/>
        <w:spacing w:lineRule="auto" w:line="451" w:before="0" w:after="0"/>
        <w:ind w:left="0" w:right="0" w:hanging="360"/>
        <w:jc w:val="left"/>
        <w:rPr/>
      </w:pPr>
      <w:r>
        <w:rPr>
          <w:color w:val="000000"/>
        </w:rPr>
        <w:t>•</w:t>
      </w:r>
      <w:r>
        <w:rPr>
          <w:rFonts w:ascii="sans-serif" w:hAnsi="sans-serif"/>
          <w:b w:val="false"/>
          <w:color w:val="000000"/>
          <w:sz w:val="22"/>
        </w:rPr>
        <w:t>Strategic legal and regulatory expenses - relates to litigation and regulatory expenses deemed strategically important to our operations. Litigation expenses primarily relate to legal fees incurred and relate to suits filed against former employees and their employers for violation of non-compete and non-solicitation agreements and certain patent infringement matters. Regulatory expenses relate to legal fees incurred stemming from action taken against the United States Food &amp; Drug Administration ("FDA") surrounding the designation of one of our products. These expenses are generally reflected in selling, general and administrative expense in our unaudited condensed consolidated statements of operations.</w:t>
      </w:r>
    </w:p>
    <w:p>
      <w:pPr>
        <w:pStyle w:val="TextBody"/>
        <w:bidi w:val="0"/>
        <w:spacing w:lineRule="auto" w:line="451" w:before="0" w:after="160"/>
        <w:ind w:left="0" w:right="0" w:hanging="360"/>
        <w:jc w:val="left"/>
        <w:rPr/>
      </w:pPr>
      <w:r>
        <w:rPr>
          <w:color w:val="000000"/>
        </w:rPr>
        <w:t>•</w:t>
      </w:r>
      <w:r>
        <w:rPr>
          <w:rFonts w:ascii="sans-serif" w:hAnsi="sans-serif"/>
          <w:b w:val="false"/>
          <w:color w:val="000000"/>
          <w:sz w:val="22"/>
        </w:rPr>
        <w:t xml:space="preserve">Reorganization expense - expenses incurred toward the realignment of our operating strategy. These expenses relate to severance expenses related to certain executive leaders and other employment actions, including the implementation of our cost reduction initiative during the second quarter of 2026. These expenses are reflected as a component of cost of sales, selling, </w:t>
      </w:r>
    </w:p>
    <w:p>
      <w:pPr>
        <w:pStyle w:val="TextBody"/>
        <w:bidi w:val="0"/>
        <w:spacing w:before="0" w:after="0"/>
        <w:jc w:val="center"/>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general and administrative expense, and research and development expense in the unaudited condensed consolidated statements of operations.</w:t>
      </w:r>
    </w:p>
    <w:p>
      <w:pPr>
        <w:pStyle w:val="TextBody"/>
        <w:bidi w:val="0"/>
        <w:spacing w:lineRule="auto" w:line="451" w:before="0" w:after="160"/>
        <w:ind w:left="0" w:right="0" w:hanging="360"/>
        <w:jc w:val="left"/>
        <w:rPr/>
      </w:pPr>
      <w:r>
        <w:rPr>
          <w:color w:val="000000"/>
        </w:rPr>
        <w:t>•</w:t>
      </w:r>
      <w:r>
        <w:rPr>
          <w:rFonts w:ascii="sans-serif" w:hAnsi="sans-serif"/>
          <w:b w:val="false"/>
          <w:color w:val="000000"/>
          <w:sz w:val="22"/>
        </w:rPr>
        <w:t>Strategic software implementation costs - incremental expenses incurred toward the implementation of software as a service arrangements which are not capitalizable under GAAP and are determined to be material to the Company's core operations. These expenses are reflected in the caption of the unaudited condensed consolidated statements of operations which is commensurate with the intended use of the software. For the quarter ended June 30, 2026, this is primarily cost of sales.</w:t>
      </w:r>
    </w:p>
    <w:p>
      <w:pPr>
        <w:pStyle w:val="TextBody"/>
        <w:bidi w:val="0"/>
        <w:spacing w:lineRule="auto" w:line="451" w:before="0" w:after="160"/>
        <w:ind w:left="0" w:right="0" w:hanging="360"/>
        <w:jc w:val="left"/>
        <w:rPr/>
      </w:pPr>
      <w:r>
        <w:rPr>
          <w:color w:val="000000"/>
          <w:shd w:fill="FFFFFF" w:val="clear"/>
        </w:rPr>
        <w:t>•</w:t>
      </w:r>
      <w:r>
        <w:rPr>
          <w:rFonts w:ascii="sans-serif" w:hAnsi="sans-serif"/>
          <w:b w:val="false"/>
          <w:color w:val="000000"/>
          <w:sz w:val="22"/>
        </w:rPr>
        <w:t xml:space="preserve">Long-term effective income tax rate adjustment - for purposes of calculating Adjusted Net Income and Adjusted Earnings Per Share, reflects our expectation of a long-term effective tax rate, which is normalized and balance sheet-agnostic. Actual tax expense will be based on GAAP earnings, and may differ from the expected long-term effective tax rate due to a variety of factors, including the tax treatment of various transactions included in GAAP net income and other reconciling items that are excluded in determining Adjusted Net Income and Adjusted EPS. The actual long-term normalized effective tax rate was 25% for each of the quarters ended June 30, 2026 and 2025. </w:t>
      </w:r>
    </w:p>
    <w:p>
      <w:pPr>
        <w:pStyle w:val="TextBody"/>
        <w:bidi w:val="0"/>
        <w:spacing w:before="0" w:after="0"/>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left"/>
        <w:rPr>
          <w:rFonts w:ascii="sans-serif" w:hAnsi="sans-serif"/>
          <w:b w:val="false"/>
          <w:i/>
          <w:color w:val="000000"/>
          <w:sz w:val="22"/>
        </w:rPr>
      </w:pPr>
      <w:r>
        <w:rPr>
          <w:rFonts w:ascii="sans-serif" w:hAnsi="sans-serif"/>
          <w:b w:val="false"/>
          <w:i/>
          <w:color w:val="000000"/>
          <w:sz w:val="22"/>
        </w:rPr>
        <w:t>Adjusted EBITDA and Adjusted EBITDA margin</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Adjusted EBITDA consists of GAAP net (loss) income excluding (i) strategic legal and regulatory expenses, (ii) reorganization expenses, (iii) amortization of intangible assets, (iv) share-based compensation expense (reversal), (v) depreciation expense, (vi) strategic software implementation costs, (vii) transaction-related expenses, (viii) interest income, net, and (ix) income tax provision (benefit) expense.</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A reconciliation of GAAP net income to Adjusted EBITDA and the calculation of Adjusted EBITDA margin appears in the table below (in thousands):</w:t>
      </w:r>
    </w:p>
    <w:tbl>
      <w:tblPr>
        <w:tblW w:w="10205" w:type="dxa"/>
        <w:jc w:val="left"/>
        <w:tblInd w:w="0" w:type="dxa"/>
        <w:tblLayout w:type="fixed"/>
        <w:tblCellMar>
          <w:top w:w="28" w:type="dxa"/>
          <w:left w:w="28" w:type="dxa"/>
          <w:bottom w:w="28" w:type="dxa"/>
          <w:right w:w="28" w:type="dxa"/>
        </w:tblCellMar>
      </w:tblPr>
      <w:tblGrid>
        <w:gridCol w:w="1501"/>
        <w:gridCol w:w="940"/>
        <w:gridCol w:w="808"/>
        <w:gridCol w:w="712"/>
        <w:gridCol w:w="340"/>
        <w:gridCol w:w="293"/>
        <w:gridCol w:w="209"/>
        <w:gridCol w:w="209"/>
        <w:gridCol w:w="209"/>
        <w:gridCol w:w="691"/>
        <w:gridCol w:w="323"/>
        <w:gridCol w:w="275"/>
        <w:gridCol w:w="109"/>
        <w:gridCol w:w="109"/>
        <w:gridCol w:w="109"/>
        <w:gridCol w:w="644"/>
        <w:gridCol w:w="422"/>
        <w:gridCol w:w="280"/>
        <w:gridCol w:w="192"/>
        <w:gridCol w:w="192"/>
        <w:gridCol w:w="192"/>
        <w:gridCol w:w="644"/>
        <w:gridCol w:w="422"/>
        <w:gridCol w:w="380"/>
      </w:tblGrid>
      <w:tr>
        <w:trPr/>
        <w:tc>
          <w:tcPr>
            <w:tcW w:w="150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income</w:t>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(14,840)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9,618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(25,700)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16,639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Adjustments:</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3,874    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2,530    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8,429    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4,175    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expenses</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3,815    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3,815    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826    </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intangible assets</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1,091    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2,606    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2,180    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5,252    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Share-based compensation expense (reversal)</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903    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4,754    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(793)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9,014    </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expense</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440    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563    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968    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1,120    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software implementation costs</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354    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354    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Transaction-related expenses</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(30)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633    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146    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640    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 net</w:t>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(788)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(738)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(1,673)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(1,244)    </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provision (benefit) expense</w:t>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(2,940)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3,389    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(7,411)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4,978    </w:t>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13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(8,121)</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24,181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(19,685)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41,400</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i/>
                <w:color w:val="000000"/>
                <w:sz w:val="16"/>
              </w:rPr>
              <w:t>Adjusted EBITDA margin</w:t>
            </w:r>
          </w:p>
        </w:tc>
        <w:tc>
          <w:tcPr>
            <w:tcW w:w="13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i/>
                <w:color w:val="000000"/>
                <w:sz w:val="16"/>
              </w:rPr>
              <w:t>(12.6)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i/>
                <w:color w:val="000000"/>
                <w:sz w:val="16"/>
              </w:rPr>
              <w:t>24.5    %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i/>
                <w:color w:val="000000"/>
                <w:sz w:val="16"/>
              </w:rPr>
              <w:t>(16.0)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i/>
                <w:color w:val="000000"/>
                <w:sz w:val="16"/>
              </w:rPr>
              <w:t>22.2    %</w:t>
            </w:r>
          </w:p>
        </w:tc>
      </w:tr>
    </w:tbl>
    <w:p>
      <w:pPr>
        <w:pStyle w:val="TextBody"/>
        <w:bidi w:val="0"/>
        <w:spacing w:before="0" w:after="0"/>
        <w:jc w:val="left"/>
        <w:rPr/>
      </w:pPr>
      <w:r>
        <w:rPr/>
      </w:r>
    </w:p>
    <w:p>
      <w:pPr>
        <w:pStyle w:val="TextBody"/>
        <w:bidi w:val="0"/>
        <w:spacing w:lineRule="auto" w:line="333" w:before="0" w:after="160"/>
        <w:jc w:val="left"/>
        <w:rPr>
          <w:rFonts w:ascii="sans-serif" w:hAnsi="sans-serif"/>
          <w:b w:val="false"/>
          <w:i/>
          <w:color w:val="000000"/>
          <w:sz w:val="22"/>
        </w:rPr>
      </w:pPr>
      <w:r>
        <w:rPr>
          <w:rFonts w:ascii="sans-serif" w:hAnsi="sans-serif"/>
          <w:b w:val="false"/>
          <w:i/>
          <w:color w:val="000000"/>
          <w:sz w:val="22"/>
        </w:rPr>
        <w:t>Adjusted Net Income</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Adjusted Net Income provides a view of our operating performance, exclusive of certain items which are non-recurring or not reflective of our core operations. </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Adjusted Net Income is defined as GAAP net (loss) income plus (i) strategic legal and regulatory expenses, (ii) reorganization expenses, (iii) amortization of acquired intangible assets, (iv) strategic software implementation costs, (v) transaction-related expenses, and (vi) long-term effective income tax rate adjustment.</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A reconciliation of GAAP net income to Adjusted Net Income appears in the table below (in thousands):</w:t>
      </w:r>
    </w:p>
    <w:tbl>
      <w:tblPr>
        <w:tblW w:w="10205" w:type="dxa"/>
        <w:jc w:val="left"/>
        <w:tblInd w:w="0" w:type="dxa"/>
        <w:tblLayout w:type="fixed"/>
        <w:tblCellMar>
          <w:top w:w="28" w:type="dxa"/>
          <w:left w:w="28" w:type="dxa"/>
          <w:bottom w:w="28" w:type="dxa"/>
          <w:right w:w="28" w:type="dxa"/>
        </w:tblCellMar>
      </w:tblPr>
      <w:tblGrid>
        <w:gridCol w:w="1642"/>
        <w:gridCol w:w="864"/>
        <w:gridCol w:w="838"/>
        <w:gridCol w:w="666"/>
        <w:gridCol w:w="317"/>
        <w:gridCol w:w="270"/>
        <w:gridCol w:w="209"/>
        <w:gridCol w:w="209"/>
        <w:gridCol w:w="209"/>
        <w:gridCol w:w="757"/>
        <w:gridCol w:w="354"/>
        <w:gridCol w:w="287"/>
        <w:gridCol w:w="109"/>
        <w:gridCol w:w="109"/>
        <w:gridCol w:w="109"/>
        <w:gridCol w:w="592"/>
        <w:gridCol w:w="388"/>
        <w:gridCol w:w="254"/>
        <w:gridCol w:w="192"/>
        <w:gridCol w:w="192"/>
        <w:gridCol w:w="192"/>
        <w:gridCol w:w="644"/>
        <w:gridCol w:w="422"/>
        <w:gridCol w:w="380"/>
      </w:tblGrid>
      <w:tr>
        <w:trPr/>
        <w:tc>
          <w:tcPr>
            <w:tcW w:w="164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income</w:t>
            </w:r>
          </w:p>
        </w:tc>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(14,840)</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9,618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(25,700)</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16,639    </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3,874    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2,530    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8,429    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4,175    </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expenses</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3,815    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3,815    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826    </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 assets</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799    </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2,506    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1,599    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5,053    </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software implementation costs</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354    </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354    </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Transaction-related expenses</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(30)</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146    </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640    </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Long-term effective income tax rate adjustment </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(698)</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(2,719)</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(3,100)</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net (loss) income</w:t>
            </w:r>
          </w:p>
        </w:tc>
        <w:tc>
          <w:tcPr>
            <w:tcW w:w="12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(6,726)</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14,626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(14,076)</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24,233    </w:t>
            </w:r>
          </w:p>
        </w:tc>
      </w:tr>
    </w:tbl>
    <w:p>
      <w:pPr>
        <w:pStyle w:val="TextBody"/>
        <w:bidi w:val="0"/>
        <w:spacing w:before="0" w:after="0"/>
        <w:jc w:val="center"/>
        <w:rPr/>
      </w:pPr>
      <w:r>
        <w:rPr/>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A reconciliation of various line items included in our GAAP unaudited condensed consolidated statements of operations to Adjusted Net Income for the three months ended June 30, 2026 and 2025 are presented in the tables below (in thousands):</w:t>
      </w:r>
    </w:p>
    <w:tbl>
      <w:tblPr>
        <w:tblW w:w="10205" w:type="dxa"/>
        <w:jc w:val="left"/>
        <w:tblInd w:w="0" w:type="dxa"/>
        <w:tblLayout w:type="fixed"/>
        <w:tblCellMar>
          <w:top w:w="28" w:type="dxa"/>
          <w:left w:w="28" w:type="dxa"/>
          <w:bottom w:w="28" w:type="dxa"/>
          <w:right w:w="28" w:type="dxa"/>
        </w:tblCellMar>
      </w:tblPr>
      <w:tblGrid>
        <w:gridCol w:w="1202"/>
        <w:gridCol w:w="597"/>
        <w:gridCol w:w="601"/>
        <w:gridCol w:w="409"/>
        <w:gridCol w:w="409"/>
        <w:gridCol w:w="377"/>
        <w:gridCol w:w="121"/>
        <w:gridCol w:w="121"/>
        <w:gridCol w:w="121"/>
        <w:gridCol w:w="772"/>
        <w:gridCol w:w="772"/>
        <w:gridCol w:w="773"/>
        <w:gridCol w:w="121"/>
        <w:gridCol w:w="121"/>
        <w:gridCol w:w="121"/>
        <w:gridCol w:w="645"/>
        <w:gridCol w:w="645"/>
        <w:gridCol w:w="646"/>
        <w:gridCol w:w="121"/>
        <w:gridCol w:w="121"/>
        <w:gridCol w:w="121"/>
        <w:gridCol w:w="367"/>
        <w:gridCol w:w="367"/>
        <w:gridCol w:w="534"/>
      </w:tblGrid>
      <w:tr>
        <w:trPr/>
        <w:tc>
          <w:tcPr>
            <w:tcW w:w="120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 2026</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Gross Profit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Selling, General &amp; Administrative Expense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Research and Development Expense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Net Loss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GAAP Measure</w:t>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44,381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59,779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2,777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(14,840)</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 assets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sans-serif" w:hAnsi="sans-serif"/>
                <w:b w:val="false"/>
                <w:color w:val="000000"/>
                <w:sz w:val="20"/>
              </w:rPr>
            </w:pPr>
            <w:r>
              <w:rPr>
                <w:rFonts w:ascii="sans-serif" w:hAnsi="sans-serif"/>
                <w:b w:val="false"/>
                <w:color w:val="000000"/>
                <w:sz w:val="20"/>
              </w:rPr>
              <w:t>799</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799 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(3,874)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3,874 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1,901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(1,808)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(106)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3,815    </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related expenses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30    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(30)</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software implementation costs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354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354    </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Long-term effective income tax rate adjustment </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(698)</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Measure</w:t>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47,435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54,127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2,671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(6,726)</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w:t>
            </w:r>
          </w:p>
        </w:tc>
        <w:tc>
          <w:tcPr>
            <w:tcW w:w="11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w:t>
            </w:r>
            <w:r>
              <w:rPr>
                <w:rFonts w:ascii="sans-serif" w:hAnsi="sans-serif"/>
                <w:b w:val="false"/>
                <w:color w:val="000000"/>
                <w:sz w:val="20"/>
              </w:rPr>
              <w:t>69.0    %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 as adjusted</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73.7    %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8"/>
        <w:gridCol w:w="561"/>
        <w:gridCol w:w="564"/>
        <w:gridCol w:w="454"/>
        <w:gridCol w:w="454"/>
        <w:gridCol w:w="458"/>
        <w:gridCol w:w="119"/>
        <w:gridCol w:w="119"/>
        <w:gridCol w:w="119"/>
        <w:gridCol w:w="747"/>
        <w:gridCol w:w="747"/>
        <w:gridCol w:w="748"/>
        <w:gridCol w:w="119"/>
        <w:gridCol w:w="119"/>
        <w:gridCol w:w="119"/>
        <w:gridCol w:w="622"/>
        <w:gridCol w:w="622"/>
        <w:gridCol w:w="624"/>
        <w:gridCol w:w="119"/>
        <w:gridCol w:w="119"/>
        <w:gridCol w:w="119"/>
        <w:gridCol w:w="412"/>
        <w:gridCol w:w="412"/>
        <w:gridCol w:w="601"/>
      </w:tblGrid>
      <w:tr>
        <w:trPr/>
        <w:tc>
          <w:tcPr>
            <w:tcW w:w="110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 2025</w:t>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Gross Profit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Selling, General &amp; Administrative Expense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Research and Development Expense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Net Income</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GAAP Measure</w:t>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79,924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64,151    </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3,303    </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9,618    </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 assets</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2,506    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2,506    </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(2,530)</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2,530    </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related expenses</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(565)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633    </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(826)</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826    </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Long-term effective income tax rate adjustment </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(1,487)</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Measure</w:t>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82,430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60,230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3,303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14,626    </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w:t>
            </w:r>
          </w:p>
        </w:tc>
        <w:tc>
          <w:tcPr>
            <w:tcW w:w="13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w:t>
            </w:r>
            <w:r>
              <w:rPr>
                <w:rFonts w:ascii="sans-serif" w:hAnsi="sans-serif"/>
                <w:b w:val="false"/>
                <w:color w:val="000000"/>
                <w:sz w:val="20"/>
              </w:rPr>
              <w:t>81.1    %</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 as adjusted</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83.6    %</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89"/>
        <w:gridCol w:w="576"/>
        <w:gridCol w:w="579"/>
        <w:gridCol w:w="454"/>
        <w:gridCol w:w="454"/>
        <w:gridCol w:w="458"/>
        <w:gridCol w:w="117"/>
        <w:gridCol w:w="117"/>
        <w:gridCol w:w="117"/>
        <w:gridCol w:w="757"/>
        <w:gridCol w:w="757"/>
        <w:gridCol w:w="758"/>
        <w:gridCol w:w="117"/>
        <w:gridCol w:w="117"/>
        <w:gridCol w:w="117"/>
        <w:gridCol w:w="631"/>
        <w:gridCol w:w="631"/>
        <w:gridCol w:w="633"/>
        <w:gridCol w:w="117"/>
        <w:gridCol w:w="117"/>
        <w:gridCol w:w="117"/>
        <w:gridCol w:w="375"/>
        <w:gridCol w:w="375"/>
        <w:gridCol w:w="525"/>
      </w:tblGrid>
      <w:tr>
        <w:trPr/>
        <w:tc>
          <w:tcPr>
            <w:tcW w:w="118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 2026</w:t>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Gross Profit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Selling, General &amp; Administrative Expense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Research and Development Expense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Net Income</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GAAP Measure</w:t>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86,005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113,010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6,917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(25,700)</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 assets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1,599    </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(8,429)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8,429    </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expenses</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1,901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(1,808)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(106)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3,815    </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related expenses</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(115)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146    </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software implementation costs</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354    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354    </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Long-term effective income tax rate adjustment </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(2,719)</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Measure</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89,859 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102,658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6,811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(14,076)</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w:t>
            </w:r>
          </w:p>
        </w:tc>
        <w:tc>
          <w:tcPr>
            <w:tcW w:w="13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w:t>
            </w:r>
            <w:r>
              <w:rPr>
                <w:rFonts w:ascii="sans-serif" w:hAnsi="sans-serif"/>
                <w:b w:val="false"/>
                <w:color w:val="000000"/>
                <w:sz w:val="20"/>
              </w:rPr>
              <w:t>69.7    %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 as adjusted</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72.8    %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99"/>
        <w:gridCol w:w="547"/>
        <w:gridCol w:w="550"/>
        <w:gridCol w:w="494"/>
        <w:gridCol w:w="494"/>
        <w:gridCol w:w="498"/>
        <w:gridCol w:w="116"/>
        <w:gridCol w:w="116"/>
        <w:gridCol w:w="116"/>
        <w:gridCol w:w="737"/>
        <w:gridCol w:w="737"/>
        <w:gridCol w:w="739"/>
        <w:gridCol w:w="116"/>
        <w:gridCol w:w="116"/>
        <w:gridCol w:w="116"/>
        <w:gridCol w:w="614"/>
        <w:gridCol w:w="614"/>
        <w:gridCol w:w="615"/>
        <w:gridCol w:w="116"/>
        <w:gridCol w:w="116"/>
        <w:gridCol w:w="116"/>
        <w:gridCol w:w="413"/>
        <w:gridCol w:w="413"/>
        <w:gridCol w:w="597"/>
      </w:tblGrid>
      <w:tr>
        <w:trPr/>
        <w:tc>
          <w:tcPr>
            <w:tcW w:w="109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 2025</w:t>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Gross Profit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Selling, General &amp; Administrative Expense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Research and Development Expense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Net Income</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Reported GAAP Measure</w:t>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151,571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124,120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6,632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16,639    </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5,053    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5,053    </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(4,175)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4,175    </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related expenses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(565)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640    </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w:t>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(826)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826    </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Long-term effective income tax rate adjustment </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(3,100)</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Measure</w:t>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156,624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118,554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6,632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3" w:after="20"/>
              <w:jc w:val="right"/>
              <w:rPr>
                <w:rFonts w:ascii="sans-serif" w:hAnsi="sans-serif"/>
                <w:b w:val="false"/>
                <w:color w:val="000000"/>
                <w:sz w:val="20"/>
              </w:rPr>
            </w:pPr>
            <w:r>
              <w:rPr>
                <w:rFonts w:ascii="sans-serif" w:hAnsi="sans-serif"/>
                <w:b w:val="false"/>
                <w:color w:val="000000"/>
                <w:sz w:val="20"/>
              </w:rPr>
              <w:t>$    24,233    </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w:t>
            </w:r>
          </w:p>
        </w:tc>
        <w:tc>
          <w:tcPr>
            <w:tcW w:w="14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0"/>
              <w:jc w:val="right"/>
              <w:rPr>
                <w:color w:val="000000"/>
              </w:rPr>
            </w:pPr>
            <w:r>
              <w:rPr>
                <w:color w:val="000000"/>
              </w:rPr>
              <w:t>    </w:t>
            </w:r>
            <w:r>
              <w:rPr>
                <w:rFonts w:ascii="sans-serif" w:hAnsi="sans-serif"/>
                <w:b w:val="false"/>
                <w:color w:val="000000"/>
                <w:sz w:val="20"/>
              </w:rPr>
              <w:t>81.1    %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 as adjusted</w:t>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sans-serif" w:hAnsi="sans-serif"/>
                <w:b w:val="false"/>
                <w:color w:val="000000"/>
                <w:sz w:val="20"/>
              </w:rPr>
              <w:t>83.8    %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160"/>
        <w:jc w:val="left"/>
        <w:rPr>
          <w:rFonts w:ascii="sans-serif" w:hAnsi="sans-serif"/>
          <w:b w:val="false"/>
          <w:i/>
          <w:color w:val="000000"/>
          <w:sz w:val="22"/>
        </w:rPr>
      </w:pPr>
      <w:r>
        <w:rPr>
          <w:rFonts w:ascii="sans-serif" w:hAnsi="sans-serif"/>
          <w:b w:val="false"/>
          <w:i/>
          <w:color w:val="000000"/>
          <w:sz w:val="22"/>
        </w:rPr>
        <w:t>Adjusted Earnings Per Share</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Adjusted Earnings Per Share is intended to provide a normalized view of earnings per share by removing items that may be irregular, one-time, or non-recurring from net income. This enables us to identify underlying trends in our business that could otherwise be masked by such items. Adjusted Earnings Per Share consists of GAAP diluted net income per common share including adjustments for (i) amortization of acquired intangible assets, (ii) strategic legal and regulatory expenses, (iii) transaction-related expenses, and (iv) the long-term effective income tax rate adjustment.</w:t>
      </w:r>
    </w:p>
    <w:p>
      <w:pPr>
        <w:pStyle w:val="TextBody"/>
        <w:bidi w:val="0"/>
        <w:spacing w:lineRule="auto" w:line="451" w:before="0" w:after="0"/>
        <w:jc w:val="left"/>
        <w:rPr>
          <w:rFonts w:ascii="sans-serif" w:hAnsi="sans-serif"/>
          <w:b w:val="false"/>
          <w:color w:val="000000"/>
          <w:sz w:val="22"/>
        </w:rPr>
      </w:pPr>
      <w:r>
        <w:rPr>
          <w:rFonts w:ascii="sans-serif" w:hAnsi="sans-serif"/>
          <w:b w:val="false"/>
          <w:color w:val="000000"/>
          <w:sz w:val="22"/>
        </w:rPr>
        <w:t>A reconciliation of GAAP diluted earnings per share to Adjusted Earnings Per Share appears in the table below (per diluted share):</w:t>
      </w:r>
    </w:p>
    <w:tbl>
      <w:tblPr>
        <w:tblW w:w="10205" w:type="dxa"/>
        <w:jc w:val="left"/>
        <w:tblInd w:w="0" w:type="dxa"/>
        <w:tblLayout w:type="fixed"/>
        <w:tblCellMar>
          <w:top w:w="28" w:type="dxa"/>
          <w:left w:w="28" w:type="dxa"/>
          <w:bottom w:w="28" w:type="dxa"/>
          <w:right w:w="28" w:type="dxa"/>
        </w:tblCellMar>
      </w:tblPr>
      <w:tblGrid>
        <w:gridCol w:w="1060"/>
        <w:gridCol w:w="437"/>
        <w:gridCol w:w="438"/>
        <w:gridCol w:w="612"/>
        <w:gridCol w:w="612"/>
        <w:gridCol w:w="562"/>
        <w:gridCol w:w="126"/>
        <w:gridCol w:w="126"/>
        <w:gridCol w:w="126"/>
        <w:gridCol w:w="989"/>
        <w:gridCol w:w="463"/>
        <w:gridCol w:w="334"/>
        <w:gridCol w:w="109"/>
        <w:gridCol w:w="109"/>
        <w:gridCol w:w="109"/>
        <w:gridCol w:w="837"/>
        <w:gridCol w:w="548"/>
        <w:gridCol w:w="401"/>
        <w:gridCol w:w="123"/>
        <w:gridCol w:w="123"/>
        <w:gridCol w:w="123"/>
        <w:gridCol w:w="834"/>
        <w:gridCol w:w="547"/>
        <w:gridCol w:w="457"/>
      </w:tblGrid>
      <w:tr>
        <w:trPr/>
        <w:tc>
          <w:tcPr>
            <w:tcW w:w="106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GAAP net (loss) income per common share - diluted</w:t>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(0.10)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0.06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(0.17)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0.11    </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acquired intangible assets</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0.01    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0.01    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0.03    </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legal and regulatory expenses</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0.03    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0.06    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0.03    </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Reorganization expenses</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0.03    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0.03    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0.01    </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effective income tax rate adjustment</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(0.02)</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Earnings Per Share</w:t>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(0.05)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0.10    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(0.09)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33" w:after="30"/>
              <w:jc w:val="right"/>
              <w:rPr>
                <w:color w:val="000000"/>
              </w:rPr>
            </w:pPr>
            <w:r>
              <w:rPr>
                <w:color w:val="000000"/>
              </w:rPr>
              <w:t>    </w:t>
            </w:r>
            <w:r>
              <w:rPr>
                <w:rFonts w:ascii="sans-serif" w:hAnsi="sans-serif"/>
                <w:b w:val="false"/>
                <w:color w:val="000000"/>
                <w:sz w:val="20"/>
              </w:rPr>
              <w:t>0.16    </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adjusted</w:t>
            </w:r>
          </w:p>
        </w:tc>
        <w:tc>
          <w:tcPr>
            <w:tcW w:w="1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color w:val="000000"/>
                <w:sz w:val="20"/>
              </w:rPr>
              <w:t>147,795,741    </w:t>
            </w:r>
          </w:p>
        </w:tc>
        <w:tc>
          <w:tcPr>
            <w:tcW w:w="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color w:val="000000"/>
                <w:sz w:val="20"/>
              </w:rPr>
              <w:t>149,317,281    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color w:val="000000"/>
                <w:sz w:val="20"/>
              </w:rPr>
              <w:t>148,119,083    </w:t>
            </w:r>
          </w:p>
        </w:tc>
        <w:tc>
          <w:tcPr>
            <w:tcW w:w="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30"/>
              <w:jc w:val="right"/>
              <w:rPr>
                <w:color w:val="000000"/>
              </w:rPr>
            </w:pPr>
            <w:r>
              <w:rPr>
                <w:color w:val="000000"/>
              </w:rPr>
              <w:t>    </w:t>
            </w:r>
            <w:r>
              <w:rPr>
                <w:rFonts w:ascii="sans-serif" w:hAnsi="sans-serif"/>
                <w:b w:val="false"/>
                <w:color w:val="000000"/>
                <w:sz w:val="20"/>
              </w:rPr>
              <w:t>149,529,544    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left"/>
        <w:rPr>
          <w:rFonts w:ascii="sans-serif" w:hAnsi="sans-serif"/>
          <w:b w:val="false"/>
          <w:i/>
          <w:color w:val="000000"/>
          <w:sz w:val="22"/>
        </w:rPr>
      </w:pPr>
      <w:r>
        <w:rPr>
          <w:rFonts w:ascii="sans-serif" w:hAnsi="sans-serif"/>
          <w:b w:val="false"/>
          <w:i/>
          <w:color w:val="000000"/>
          <w:sz w:val="22"/>
        </w:rPr>
        <w:t>Free Cash Flow</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 xml:space="preserve">Free Cash Flow is intended to provide a measure of our ability to generate cash in excess of capital investments. It provides management with a view of cash flows which can be used to finance operational and strategic investments. </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Free Cash Flow is defined as net cash provided by operating activities less capital expenditures, including purchases of equipment.</w:t>
      </w:r>
    </w:p>
    <w:p>
      <w:pPr>
        <w:pStyle w:val="TextBody"/>
        <w:bidi w:val="0"/>
        <w:spacing w:lineRule="auto" w:line="451" w:before="0" w:after="160"/>
        <w:jc w:val="left"/>
        <w:rPr>
          <w:rFonts w:ascii="sans-serif" w:hAnsi="sans-serif"/>
          <w:b w:val="false"/>
          <w:color w:val="000000"/>
          <w:sz w:val="22"/>
        </w:rPr>
      </w:pPr>
      <w:r>
        <w:rPr>
          <w:rFonts w:ascii="sans-serif" w:hAnsi="sans-serif"/>
          <w:b w:val="false"/>
          <w:color w:val="000000"/>
          <w:sz w:val="22"/>
        </w:rPr>
        <w:t>A reconciliation of GAAP net cash flows provided by operating activities to Free Cash Flow appears in the table below (in thousands):</w:t>
      </w:r>
    </w:p>
    <w:tbl>
      <w:tblPr>
        <w:tblW w:w="10205" w:type="dxa"/>
        <w:jc w:val="left"/>
        <w:tblInd w:w="0" w:type="dxa"/>
        <w:tblLayout w:type="fixed"/>
        <w:tblCellMar>
          <w:top w:w="28" w:type="dxa"/>
          <w:left w:w="28" w:type="dxa"/>
          <w:bottom w:w="28" w:type="dxa"/>
          <w:right w:w="28" w:type="dxa"/>
        </w:tblCellMar>
      </w:tblPr>
      <w:tblGrid>
        <w:gridCol w:w="1374"/>
        <w:gridCol w:w="1019"/>
        <w:gridCol w:w="1025"/>
        <w:gridCol w:w="508"/>
        <w:gridCol w:w="489"/>
        <w:gridCol w:w="238"/>
        <w:gridCol w:w="173"/>
        <w:gridCol w:w="173"/>
        <w:gridCol w:w="173"/>
        <w:gridCol w:w="566"/>
        <w:gridCol w:w="545"/>
        <w:gridCol w:w="255"/>
        <w:gridCol w:w="173"/>
        <w:gridCol w:w="173"/>
        <w:gridCol w:w="173"/>
        <w:gridCol w:w="531"/>
        <w:gridCol w:w="348"/>
        <w:gridCol w:w="243"/>
        <w:gridCol w:w="194"/>
        <w:gridCol w:w="194"/>
        <w:gridCol w:w="194"/>
        <w:gridCol w:w="644"/>
        <w:gridCol w:w="422"/>
        <w:gridCol w:w="378"/>
      </w:tblGrid>
      <w:tr>
        <w:trPr/>
        <w:tc>
          <w:tcPr>
            <w:tcW w:w="13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3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Net cash flows provided by operating activities </w:t>
            </w:r>
          </w:p>
        </w:tc>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(10,015)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14,419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(8,136)</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19,718    </w:t>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 including purchases of equipment</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(598)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(179)</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(1,168)</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(556)</w:t>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Free Cash Flow</w:t>
            </w:r>
          </w:p>
        </w:tc>
        <w:tc>
          <w:tcPr>
            <w:tcW w:w="12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(10,613)</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14,240    </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(9,304)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19,162    </w:t>
            </w:r>
          </w:p>
        </w:tc>
      </w:tr>
    </w:tbl>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Other Information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 xml:space="preserve">Net Sales by Product Category by Quarter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Below is a summary of net sales by product category (in thousands):</w:t>
      </w:r>
    </w:p>
    <w:p>
      <w:pPr>
        <w:pStyle w:val="TextBody"/>
        <w:bidi w:val="0"/>
        <w:spacing w:before="0" w:after="0"/>
        <w:jc w:val="left"/>
        <w:rPr/>
      </w:pPr>
      <w:r>
        <w:rPr/>
      </w:r>
    </w:p>
    <w:p>
      <w:pPr>
        <w:pStyle w:val="TextBody"/>
        <w:bidi w:val="0"/>
        <w:spacing w:before="0" w:after="0"/>
        <w:jc w:val="left"/>
        <w:rPr/>
      </w:pPr>
      <w:r>
        <w:rPr/>
      </w:r>
    </w:p>
    <w:tbl>
      <w:tblPr>
        <w:tblW w:w="9473" w:type="dxa"/>
        <w:jc w:val="left"/>
        <w:tblInd w:w="0" w:type="dxa"/>
        <w:tblLayout w:type="fixed"/>
        <w:tblCellMar>
          <w:top w:w="28" w:type="dxa"/>
          <w:left w:w="28" w:type="dxa"/>
          <w:bottom w:w="28" w:type="dxa"/>
          <w:right w:w="28" w:type="dxa"/>
        </w:tblCellMar>
      </w:tblPr>
      <w:tblGrid>
        <w:gridCol w:w="374"/>
        <w:gridCol w:w="330"/>
        <w:gridCol w:w="331"/>
        <w:gridCol w:w="243"/>
        <w:gridCol w:w="243"/>
        <w:gridCol w:w="243"/>
        <w:gridCol w:w="566"/>
        <w:gridCol w:w="545"/>
        <w:gridCol w:w="255"/>
        <w:gridCol w:w="243"/>
        <w:gridCol w:w="243"/>
        <w:gridCol w:w="243"/>
        <w:gridCol w:w="566"/>
        <w:gridCol w:w="545"/>
        <w:gridCol w:w="255"/>
        <w:gridCol w:w="109"/>
        <w:gridCol w:w="109"/>
        <w:gridCol w:w="109"/>
        <w:gridCol w:w="729"/>
        <w:gridCol w:w="478"/>
        <w:gridCol w:w="288"/>
        <w:gridCol w:w="288"/>
        <w:gridCol w:w="288"/>
        <w:gridCol w:w="288"/>
        <w:gridCol w:w="698"/>
        <w:gridCol w:w="457"/>
        <w:gridCol w:w="407"/>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Six Months Ended June 30,</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Surgical</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39,297    </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34,129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75,671    </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66,261    </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Wound</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25,065    </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64,476    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47,682    </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sans-serif" w:hAnsi="sans-serif"/>
                <w:b w:val="false"/>
                <w:color w:val="000000"/>
                <w:sz w:val="20"/>
              </w:rPr>
              <w:t>120,549    </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sales</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64,362    </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98,605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123,353    </w:t>
            </w:r>
          </w:p>
        </w:tc>
        <w:tc>
          <w:tcPr>
            <w:tcW w:w="86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33" w:after="30"/>
              <w:jc w:val="right"/>
              <w:rPr>
                <w:rFonts w:ascii="sans-serif" w:hAnsi="sans-serif"/>
                <w:b w:val="false"/>
                <w:color w:val="000000"/>
                <w:sz w:val="20"/>
              </w:rPr>
            </w:pPr>
            <w:r>
              <w:rPr>
                <w:rFonts w:ascii="sans-serif" w:hAnsi="sans-serif"/>
                <w:b w:val="false"/>
                <w:color w:val="000000"/>
                <w:sz w:val="20"/>
              </w:rPr>
              <w:t>$    186,810    </w:t>
            </w:r>
          </w:p>
        </w:tc>
      </w:tr>
    </w:tbl>
    <w:p>
      <w:pPr>
        <w:pStyle w:val="TextBody"/>
        <w:bidi w:val="0"/>
        <w:jc w:val="center"/>
        <w:rPr/>
      </w:pPr>
      <w:r>
        <w:rPr/>
      </w:r>
    </w:p>
    <w:p>
      <w:pPr>
        <w:pStyle w:val="TextBody"/>
        <w:bidi w:val="0"/>
        <w:spacing w:before="0" w:after="0"/>
        <w:jc w:val="center"/>
        <w:rPr/>
      </w:pPr>
      <w:bookmarkStart w:id="0" w:name="q2_26mdxgccdeckvf5.htm"/>
      <w:bookmarkStart w:id="1" w:name="ksq2_26mdxgccdeckvf5"/>
      <w:bookmarkEnd w:id="0"/>
      <w:bookmarkEnd w:id="1"/>
      <w:r>
        <w:rPr/>
        <w:drawing>
          <wp:inline distT="0" distB="0" distL="0" distR="0">
            <wp:extent cx="9753600" cy="5486400"/>
            <wp:effectExtent l="0" t="0" r="0" b="0"/>
            <wp:docPr id="2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Conference Call July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Call Agenda Discussion of Sanara MedTech Acquisition Review of Q2:26 Operating &amp; Financial Results &amp; (standalone) 2026 Outlook Q&amp;A | 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&amp; Cautionary Statements This presentation and our earnings call includes forward-looking statements. Forward-looking statements are subject to risks and uncertainties, and the Company cautions investors against placing undue reliance on such statements. Actual results may differ materially from those set forth in the forward-looking statements. Such forward-looking statements include statements regarding: • Growing expansion outside of the U.S.; • Our growth expectations in 2026 and beyond, including our growth in surgery, increased funding in targeted research and expanded product portfolio; • Expected results of research and development, including that our efforts will innovate and diversify our product portfolio; • Placental-derived products and their potential clinical benefits; • EPIEFFECT® and CHORIOFIX randomized controlled trial enrollment; • Expectations regarding the reimbursement environment for the Company’s products, including Medicare Spending; • Expectations regarding HELIOGEN®, AMNIOFIX®, AMNIOEFFECT®, as well as Hydrelix, NovaForm®, and G4Derm® Plus driving Surgical growth; • Our expectations that we will continue to advocate for Medicare spending reform; • Exposure to tariffs and the anticipation that they will not impact the Company’s results; • 2026 full-year revenue range and Adjusted EBITDA margin, our Long-term non-GAAP effective tax rates and top-line growth post reform in Medicare spending; • Our ability to manage Private Office and Wound Care Center/Hospital Outpatient dynamics, including adjusting our strategy to remain competitive; and • The Company’s long-term strategy and goals for value creation, the status of its pipeline products, expectations for future products, and expectations for future growth and profitability Additional forward-looking statements may be identified by words such as "believe," "expect," "may," "plan," "potential," "will," "preliminary," and similar expressions, and are based on management's current beliefs and expectations. 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 Future sales are uncertain and are affected by competition, access to customers, patient access to hospitals and healthcare providers, the reimbursement environment and many other factors; • The future market for the Company’s products can depend on regulatory approval of such products, which might not occur at all or when expected, and is based in part on assumptions regarding the number of patients who elect less acute and more acute treatment than the Company’s products, market acceptance of the Company’s products, and adequate reimbursement for such therapies; •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and • The Company describes additional risks and uncertainties in the Risk Factors section of its most recent annual report and quarterly reports filed with the Securities and Exchange Commission. Any forward-looking statements speak only as of the date of this presentation and the Company assumes no obligation to update any forward-looking statement. | 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No Offer or Solicitation This presentation does not constitute an offer to sell or the solicitation of an offer to subscribe for or buy any securities or a solicitation of any vote or approval with respect to the Transactions or otherwise, nor shall there be any sale, issuance or transfer of securities in any jurisdiction in which such offer, solicitation or sale would be unlawful prior to registration or qualification under the securities laws of any such jurisdiction. Important Additional Information In connection with the Transactions, the Company intends to file with the SEC a Registration Statement on Form S-4 (the “S-4”). Additionally, Sanara MedTech intends to file with the SEC a proxy statement on Schedule 14A (the “Proxy Statement”). The definitive Proxy Statement (if and when available) will be mailed to stockholders of Sanara. Investors will be able to obtain free copies of the Registration Statement and Proxy Statement, as each may be amended from time to time, and other relevant documents filed by Sanara MedTech and the Company with the SEC (when they become available) through the website maintained by the SEC at www.sec.gov. Copies of documents filed with the SEC by Sanara MedTech will be available free of charge from Sanara’s website at www.sanaramedtech.com under the “Investor Relations” tab or by contacting Sanara MedTech’s Investor Relations Department IR@sanaramedtech.com. Copies of documents filed with the SEC by the Company will be available free of charge from the Company’s website at www.mimedx.com under the “Investors” tab or by contacting the Company’s Investor Relations Department at investorrelations@mimedx.com. Participants in the Solicitation Sanara MedTech, the Company and their respective directors and certain of their executive officers and other members of management and employees may be deemed, under SEC rules, to be participants in the solicitation of proxies from Sanara’s stockholders in connection with the Transactions. Information regarding the executive officers and directors of the Company is included in its Proxy Statement filed with the SEC on April 29, 2026. Information regarding the executive officers and directors of Sanara MedTech is included in its Proxy Statement filed with the SEC on April 17, 2026. Additional information regarding the persons who may be deemed participants and their direct and indirect interests, by security holdings or otherwise, will be set forth in the Registration Statement and other materials when they are filed with the SEC in connection with the Transactions. Free copies of these documents may be obtained as described in the paragraphs above. | 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Opening Remarks Joseph H. Capper, Chief Executive Officer | 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Leading Surgical-Focused Combination Driving Growth, Scale &amp; Profitability | 6 | HEAL PROTECT HUMANS PROMOTE HELPING PREPARE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Sanara Squarely Fits Our Deal Criteria Accelerates strategic priority to expand Surgical footprint Revenue generating &amp; growing Adj. EBITDA accretive 510(k) product portfolio unlocks $4 billion1 of incremental TAMs | 7 | Sanara transaction achieves each of these goals Adds &gt;$100 million in Surgical revenue Accretive to revenue growth Immediately, before cost synergies Highly complementary portfolio 1 – Calculated using Definitive Healthcare Database, LSI Procedural Data, published orthopedic market research data and related journals, surgeon validation, and Sanara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Transforms Surgical Footprint &amp; Strengthens Financial Profile 1 – Based on Management Estimates 2 – 2026 Financial outlook provided on July 29, 2026; actual results may differ 3 – Based upon revenue mix year-to-date through June 30, 2026 | 8 | Surgical Soft Tissue Surgical Musculoskeletal Wound Care Total Revenue Adj. EBITDA Margin 20262 2027+ $260-290MM &gt;$400MM Breakeven ~40%3 ~50%3 ~10%3 ~45-50% ~25-30% ~20-30% &gt;20% Combined1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Combination Provides Scale Via Multiple Surgical Commercial Channels | 9 | Transaction grows surgical footprint across soft tissue and musculoskeletal categories MIMEDX Surgical (Soft Tissue) Sanara Surgical (Soft Tissue) Sanara Surgical (Musculoskeletal) Combined Surgical Revenue Combined 2027 Surgical Revenue Approaching 2 1 – Assumes closing of transaction on or before December 31, 2026 2 – Management Estimates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CellerateRX Market-leading collagen particulate ~$80MM LTM revenue Indicated for management of surgical, traumatic, partial and full-thickness wounds and first and second-degree burns Highlights From Sanara’s Attractive Portfolio &amp; Pipeline | 10 | | 10 | OsStic Synthetic injectable structural bio-adhesive Granted Breakthrough Device Designation by FDA Targeting launch in Q1:27 BIASURGE Advanced, no-rinse surgical irrigation solution Indicated for use in mechanical cleansing and removal of debris, including microorganisms, from surgical wounds; requires no secondary rinsing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Highlights | 11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Recap – Sustained Surgical Performance &amp; Sequential Wound Rebound 1) Adjusted Gross Margin and Adjusted EBITDA and related margins are non-GAAP financial measures. See the Appendix for a reconciliation to the nearest GAAP measure. | 12 | Surgical 15% Growth vs. Q2:25 Adj. Gross Margin1 74% GAAP Net Loss ($15MM) vs. $10MM Net Income in Q2:25 Net Sales $64MM +9% vs. Q1:26 Adj. EBITDA1 ($8MM) (13%) margin Net Cash $119MM During Q2:26 Share Buyback $13MM Submitted Two 510(k)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Priority Focus on Continued Product Innovation &amp; Diversification | 13 | Continuing to innovate and evolve our offering for Surgical &amp; Wound Numerous opportunities and areas for expansion Driving higher growth in Surgical Achieving a more balanced business mix between Wound &amp; Surgical Acquisition of Sanara Meaningfully Accelerates Both Strategic Priorities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Meaningful reduction in Medicare spend, due to new payment rate significantly below prior levels as industry navigates a 90%+ drop in spend YTD. • Patient volume and larger wounds shifting back to HOPD &amp; Wound Care Centers, which benefit from sizable application fee. • Clarity that fixed pricing remains in place for 2027, but disruption in WiSER model states remains a challenge. CMS Holds Steady on Reimbursement Reform in 2027 | 14 | Payment Rate Changes HOPD &amp; Wound Care Centers Private Office &amp; Associated Care Settings ~$1,800 bundled rate per visit ASP +6% plus ~$150 application fee $127.14/sq. cm. fixed rate plus ~$750 application fee $127.14/sq. cm. fixed rate plus ~$150 application fee 2025 2026 2025 2026 Market Implications YTD 2027 CY 2027 PFS &amp; OPPS Proposed Rules CMS maintains $127.14/sq. cm. fixed rate for all skin substitute categories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Exciting Momentum in Surgical Continues! | 15 | Strong, Sustained Progress in Surgical with Balanced Growth Across Sheet &amp; Particulate Portfolios Signs of Rebound in Wound with Patient Migration to Wound Care Centers Taking Volume Up 22% and Revenue Up 11% Over Q1 2026 Marking Opportunity for Share Capture with Legacy Placental Portfolio &amp; New Product Additions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MIMEDX Submits Company’s First Two 510(k) Applications | 16 | Placental ECM Particulate Antimicrobial Xenograft The 510(k) designation is an important step to unlock new markets, applications, coverage and claims that we expect will grow our presence across Surgical &amp; Wound soft tissue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Results Doug Rice, Chief Financial Officer | 17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Strong double-digit growth in AMNIOFIX® and AMNIOEFFECT® • High single-digit growth in Particulate portfolio • Initial sale of G4Derm® Plus Highlights Q2:26 Net Sales Summary | 18 | • Continued market disruption from the January 1, 2026 Medicare reimbursement reset • 11% growth quarter-over-quarter driven by an increase in volumes demonstrating potential recovery in the market Highlights UPDATE Surgical $39MM +15% vs. Q2:25 Wound $25MM (61%) vs. Q2:25 +11% vs. Q1:26 Net Sales $64MM (35%) vs. Q2:25 +9% vs. Q1:26 $59 $64 Q1:26 Q2:26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P&amp;L Summary 1) Adj. Gross Margin, Adj. EBITDA, Adj. Net Income and related margins are non-GAAP financial measures. See the Appendix for a reconciliation to the nearest GAAP measure. | 19 | $10 $15 $24 ($15) ($7) ($8) $80 $48 $16 $3 $44 $46 $13 $3 Adj. EBITDA &amp; Margin1GAAP Net Income &amp; Margin R&amp;D 49% 72% 3% 4% 10% (23%) 25% (13%) Adj. Net Income &amp; Margin1 15% (12%) Gross Profit &amp; Margin 81% 69% G&amp;A 17% 21% Adj. Gross Margin1 84% 73% • Wound-related headwinds resulted in a net loss and a negative Adjusted EBITDA in Q2:26 • Recent cost initiatives position us to become profitable starting in Q3:26 Net Income &amp; Adj. EBITDA • Gross Margin: negatively impacted by lower Wound pricing, one-time restructuring cost, and unfavorable product mix • OPEX: lower driven by the recent cost reduction initiative and lower commission from lower sales. Largely offset by high bad debt expense within Wound and one- time restructuring cost Gross Margin &amp; OPEX UPDATE S&amp;M Q2:25 Q2:26 ($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Balance Sheet Enabled Transaction | 20 | Net Cash Balance – Q2:25 to Q2:26 ($ Millions) $100 $119 Q2:25 Q2:26 Restructuring and Cost Reduction Initiative Completed a series of cost reduction initiatives intended to: • Reduce operating expenses • Streamline operations • Prioritize growth opportunities On track to achieve annualized savings of approximately $40MM Incurred a one-time restructuring charge of approximately $4MM during Q2:26 Share Repurchase Plan Repurchased 3.5MM shares for approximately $13MM during Q2:26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Outlook *2026 Outlook provided as of July 29, 2026. Actual results may differ. | 21 | $260-290MM Approaching Breakeven 2026 Net Sales* 2026 Adj.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Details | 22 | Consideration Run-Rate Cost Synergies &amp; Combined Financial Profile Timing / Approvals • Acquiring Sanara for $35 per share, representing a 46% premium to Sanara’s 30-day volume weighted average share price as of July 28, 2026 • Purchase price comprised of: • $33 per share in cash and, •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 Total Enterprise Value: Approximately $350 million Financing • MIMEDX has obtained fully committed financing through Hayfin Capital Management, LLP • Acquisition to be funded with a combination of cash on hand and a new $300 million Senior Secured Term Loan • Terms: • 6 years • SOFR + 6.25% • MIMEDX expects to issue 4.4 million shares for the stock consideration portion of the transaction • Combined leverage ratio expected to be below 3.0x by year-end 2027 • Each company’s board of directors have unanimously approved the transaction • Anticipate closing by year end 2026, subject to: • Sanara shareholder approval • Customary regulatory approvals and closing conditions • In the first full year post-close, anticipating: • Total revenue well in excess of $400 million on a combined basis • Over $20 million in annualized, run-rate cost synergies to be realized in 2027 in connection with the acquisition • Adj. EBITDA margin to be above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Closing Remarks, Q&amp;A | 23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MIMEDX 1775 West Oak Commons Ct. Marietta, GA 30062 888.543.1917 | 770.651.9100 | 24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 25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 QTD | 26 | Amounts (in millions) for the three months ended June 30, 2026 June 30, 2025 Net (loss) income – GAAP $ (14.8) $ 9.6 Strategic legal and regulatory expenses 3.9 2.5 Reorganization expense 3.8 0.8 Amortization of intangible assets 1.1 2.6 Stock-based compensation expense 0.9 4.8 Depreciation expense 0.4 0.6 Strategic software implementation costs 0.4 — Transaction-related expenses — 0.6 Interest income, net (0.8) (0.7) Income tax provision (benefit) expense (2.9) 3.4 Adjusted EBITDA $ (8.1) $ 24.2 Adjusted EBITDA margin (12.6) % 24.5 %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 YTD | 27 | Amounts (in millions) for the six months ended June 30, 2026 June 30, 2025 Net (loss) income – GAAP $ (25.7) $ 16.6 Strategic legal and regulatory expenses 8.4 4.2 Reorganization expenses 3.8 0.8 Amortization of intangible assets 2.2 5.3 Depreciation expense 1.0 1.1 Strategic software implementation costs 0.4 — Transaction-related expenses 0.1 0.6 Stock-based compensation expense (0.8) 9.0 Interest income, net (1.7) (1.2) Income tax provision (benefit) expense (7.4) 5.0 Adjusted EBITDA $ (19.7) $ 41.4 Adjusted EBITDA margin (16.0)% 22.2 %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Net Income and Adjusted EPS - QTD | 28 | Amounts (in millions) for the three months ended June 30, 2026 June 30, 2025 Net income (loss) - GAAP $ (14.8) $ 9.6 Strategic legal &amp; regulatory expenses 3.9 2.5 Reorganization expense 3.8 0.8 Amortization of acquired intangible assets 0.8 2.5 Strategic software implementation costs 0.4 — Transaction-related expenses — 0.6 Adjustment for income taxes (0.7) (1.5) Adjusted net income (loss) $ (6.7) $ 14.6 Weighted average common shares outstanding - adjusted (in millions) 147.8 149.3 Adjusted EPS $ (0.05) $ 0.10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Net Income and Adjusted EPS - YTD | 29 | Amounts (in thousands) for the six months ended June 30, 2026 June 30, 2025 Net income (loss) - GAAP $ (25.7) $ 16.6 Strategic legal &amp; regulatory expenses 8.4 4.2 Reorganization expenses 3.8 0.8 Amortization of acquired intangible assets 1.6 5.1 Strategic software implementation costs 0.4 — Transaction-related expenses 0.1 0.6 Adjustment for income taxes (2.7) (3.1) Adjusted net income (loss) $ (14.1) $ 24.2 Weighted average common shares outstanding - adjusted (in millions) 148.1 149.5 Adjusted EPS $ (0.10) $ 0.16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Gross Profit and Adjusted Gross Profit Margin - QTD | 30 | Three Months Ended Amounts (in millions) June 30, 2026 June 30, 2025 GAAP gross profit $ 44.4 $ 79.9 Reorganization expense 1.9 — Amortization of acquisition-related intangible assets 0.8 2.5 Strategic software implementation costs 0.4 — Adjusted Gross Profit $ 47.4 $ 82.4 Adjusted Gross Profit Margin 73.7 % 83.6 %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Gross Profit and Adjusted Gross Profit Margin - YTD | 31 | Six Months Ended Amounts (in millions) June 30, 2026 June 30, 2025 GAAP gross profit $ 86.0 $ 151.6 Reorganization expense 1.9 — Amortization of acquisition-related intangible assets 1.6 5.1 Strategic software implementation costs 0.4 — Adjusted Gross Profit $ 89.9 $ 156.7 Adjusted Gross Profit Margin 72.8 % 83.9 %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mimedxinvestorpresentati.htm"/>
      <w:bookmarkStart w:id="3" w:name="ksmimedxinvestorpresentati"/>
      <w:bookmarkEnd w:id="2"/>
      <w:bookmarkEnd w:id="3"/>
      <w:r>
        <w:rPr/>
        <w:drawing>
          <wp:inline distT="0" distB="0" distL="0" distR="0">
            <wp:extent cx="9753600" cy="5486400"/>
            <wp:effectExtent l="0" t="0" r="0" b="0"/>
            <wp:docPr id="5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Investor Presentation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FORWARD-LOOKING STATEMENTS Please note that in this presentation the Company may discuss events or results that have not yet occurred or been realized, commonly referred to as forward-looking statements. Such discussion and statements may contain words such as “expect,” “anticipate,” “will,” “should,” “believe,” “intend,” “plan,” “estimate,” “predict,” “seek,” “continue,” “outlook,” “may,” “might,” “should,” “can have,” “have,” “likely,” “potential,” “target,” “indicative,” “illustrative,” and variations of such words and similar expressions, and relate in this presentation, without limitation, to statements, beliefs, projections and expectations about future events. Such statements are based on the Company’s expectations, intentions and projections regarding the Company’s future performance, anticipated events or trends and other matters that are not historical facts. Such forward looking statements include statements relating to, among other things, the Company’s expectations with respect to the (i) timing for completion of the business combination, (ii) results, benefits and synergies of the business combination, (iii) future financial performance and condition, including estimated combined surgical revenue, combined leverage ratio, and Adjusted EBITDA margin, (iv) benefits of the business combination to the Company’s shareholders and (v) management’s estimates regarding the combined financial information. These statements are not guarantees of future performance and are subject to known and unknown risks, uncertainties and other factors that could cause actual results to differ materially from those expressed or implied by such forward-looking statements, including: (i) economic conditions, competition, political risks, and other risks that may affect the Company’s future performance, including the impacts of inflationary pressures and other macroeconomic factors on the Company’s business, markets, supply chain, customers and workforce, on the credit and financial markets, and on the global economy generally; (ii) the future market for the Company’s products can depend on regulatory approval of such products, which might not occur at all or when expected, and is based in part on assumptions regarding the number of patients who elect less acute and more acute treatment than the Company’s products, market acceptance of the Company’s products, and adequate reimbursement for such therapies; (iii) failure to realize the anticipated benefits of the Company’s acquisitions and acquisition strategy; (iv) failure to realize expected benefits from the Company’s other business strategies; (v) the possibility that stockholders of Sanara MedTech may not approve the Merger Agreement; (vi) the risk that a condition to closing may not be satisfied, that either party may terminate the Merger Agreement or that the closing might be delayed or not occur at all; (vii) potential adverse reactions or changes to business or employee relationships (viii) adverse developments in the credit markets which could impact the Company’s ability to secure financing in the future; (ix)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(x) future sales are uncertain and are affected by competition, access to customers, patient access to hospitals and healthcare providers, the reimbursement environment and many other factors; (xi) changes in applicable laws or regulations, including environmental, health and safety regulations; (xii) the possibility that the Company may be adversely affected by other economic, business, and/or competitive factors; (xiii) market and economic conditions, or the Company’s financial performance or determinations following the date of this presentation to use the Company’s funds for other purposes; (xiv) geopolitical risks; and (xv) other risks and uncertainties, including those discussed in the Company’s Annual Report on Form 10-K for the fiscal year ended December 31, 2025 filed with the SEC on February 25, 2026 under the heading “Risk Factors.” Given these risks and uncertainties, you are cautioned not to place undue reliance on forward-looking statements. Additional information concerning these risks, uncertainties and other factors that could cause actual results to vary is, or will be, included in the reports filed by the Company with the Securities and Exchange Commission. Forward-looking statements included in this presentation speak only as of the date hereof and, except as required by applicable law, the Company does not undertake any obligation to update or revise publicly any forward-looking statements, whether as a result of new information, future events or circumstances, after the date of this presentation. NON-GAAP FINANCIAL MEASURES This presentation contains Adjusted EBITDA, Adjusted EBITDA Margin and Combined Surgical Revenue which are non-U.S. GAAP financial measures within the meaning of Regulation G promulgated by the Securities and Exchange Commission. The presentation of the estimated combined financial information of the Company and Sanara MedTech, is not in accordance with GAAP and is presented for illustrative purposes only and does not indicate the financial results of the combined company. Such presentation is not in accordance with Article 11 of Regulation S-X and may differ from the pro forma presentation to be included in the registration statement and other materials when they are filed with the SEC in connection with the transactions contemplated by the Merger Agreement dated July 29, 2026 (the “Transactions”). We believe that for purposes of discussion and analysis, the estimated combined financial information is useful for management and investors to assess the estimated combined financial and operational performance. As used in this presentation, Adjusted EBITDA consists of GAAP net income excluding: (i) depreciation, (ii) amortization of intangibles, (iii) interest (income) expense, net, (iv) income tax provision, (v) share-based compensation, (vi) investigation, restatement and related expenses, (vii) expenses related to disbanding of the Regenerative Medicine business unit, (viii) strategic legal and regulatory expenses, (ix) transaction-related expenses, (x) impairment of intangible assets, and (xi) reorganization expenses. Adjusted EBITDA Margin is defined as Adjusted EBITDA divided by Revenue. Combined Surgical Revenue is defined as the Company’s surgical revenue plus Sanara’s total revenue. While the Company believes these non-U.S. GAAP measures are useful in evaluating the Company’s performance, this information should be considered as supplemental in nature and not as a substitute for or superior to the related financial information prepared in accordance with U.S. GAAP. Additionally, these non-U.S. GAAP financial measures may differ from similar measures presented by other companies. The Company cannot provide a reconciliation of estimated financial measures, such as Adjusted EBITDA Margin and Combined Surgical Revenue, and the most directly comparable GAAP measures without unreasonable efforts because it is unable to predict with reasonable certainty the ultimate outcome of certain significant items required for the reconciliation. | 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No Offer or Solicitation This presentation does not constitute an offer to sell or the solicitation of an offer to subscribe for or buy any securities or a solicitation of any vote or approval with respect to the Transactions or otherwise, nor shall there be any sale, issuance or transfer of securities in any jurisdiction in which such offer, solicitation or sale would be unlawful prior to registration or qualification under the securities laws of any such jurisdiction. Important Additional Information In connection with the Transactions, the Company intends to file with the SEC a Registration Statement on Form S-4 (the “S-4”). Additionally, Sanara MedTech intends to file with the SEC a proxy statement on Schedule 14A (the “Proxy Statement”). The definitive Proxy Statement (if and when available) will be mailed to stockholders of Sanara. Investors will be able to obtain free copies of the Registration Statement and Proxy Statement, as each may be amended from time to time, and other relevant documents filed by Sanara MedTech and the Company with the SEC (when they become available) through the website maintained by the SEC at www.sec.gov. Copies of documents filed with the SEC by Sanara MedTech will be available free of charge from Sanara’s website at www.sanaramedtech.com under the “Investor Relations” tab or by contacting Sanara MedTech’s Investor Relations Department IR@sanaramedtech.com. Copies of documents filed with the SEC by the Company will be available free of charge from the Company’s website at www.mimedx.com under the “Investors” tab or by contacting the Company’s Investor Relations Department at investorrelations@mimedx.com. Participants in the Solicitation Sanara MedTech, the Company and their respective directors and certain of their executive officers and other members of management and employees may be deemed, under SEC rules, to be participants in the solicitation of proxies from Sanara’s stockholders in connection with the Transactions. Information regarding the executive officers and directors of the Company is included in its Proxy Statement filed with the SEC on April 29, 2026. Information regarding the executive officers and directors of Sanara MedTech is included in its Proxy Statement filed with the SEC on April 17, 2026. Additional information regarding the persons who may be deemed participants and their direct and indirect interests, by security holdings or otherwise, will be set forth in the Registration Statement and other materials when they are filed with the SEC in connection with the Transactions. Free copies of these documents may be obtained as described in the paragraphs above. | 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MIMEDX – A Pioneer &amp; Leader Delivering Healing Solutions in Healthcare | 4 | At MIMEDX, our vision is to be the leading global provider of healing solutions through relentless innovation to restore quality of life. EXPANDING SURGICAL FOOTPRINT as we demonstrate positive clinical and economic outcomes using our Surgical products AN INDUSTRY PIONEER in Advanced Wound Care with a product offering backed by a compendium of scientific and clinical evidence STRONG FINANCIAL DISCIPLINE as focused capital deployment and expense management supports continued growth, profitability &amp; cash flow HELPING HUMANS HEAL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Rationale | 5 | Addressing large &amp; expanding Surgical markets and continuing a legacy of leadership in Wound Acquisition of Sanara MedTech accelerates Surgical growth Key competitive advantages with innovative products, extensive IP, proprietary technologies and expansive sales infrastructure Strong balance sheet and cash flow generation Experienced leadership team driving company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Sanara MedTech Acquisition Details | 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Sanara Meaningfully Accelerates Efforts to Expand Surgical Footprint | 7 | 100% Surgical / OR Business Leading Particulate Expanding Product Portfolio Unlocks Sizable Incremental TAMs1 +$4B Transforms Surgical Footprint &amp; Financial Profile Robust R&amp;D Pipeline Key Transaction Highlights 1 – Calculated using Definitive Healthcare Database, LSI Procedural Data, published orthopedic market research data and related journals, surgeon validation, and Sanara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Sanara MedTech Pure-play surgical solutions business focused on the operating room setting, with innovative technologies, strong IP, a proven and scalable commercial engine and a compelling margin profile. 1 – Historical financial information based on Sanara’s public filings | 8 | PREPARE PROMOTE PROTECT Progressive Portfolio Strategy Across the Surgical Workflow Select Financial Highlights (2025)1 $103MM 2025 Net Revenue 19% Y/Y Growth 51% 7-Year CAGR 93% Gross Margin $7MM Operating Income $17MM Adjusted EBITDA $17MM Cash 40+ Field Sales Team 450+ Contracted Distributors 1,450+ Active Facilities 4,000+ Contracted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CellerateRX® Surgical Leading Collagen Particulate Strong Business Alignment Drives Compelling Deal Rationale | 9 | OsStic Synthetic Injectable Structural Bio-Adhesive BIASURGE® No-Rinse Surgical Irrigation Solution Expands Product Offering with Differentiated, Innovative Technologies Strong Cultural Fit; Talent Profile Adds Deep Industry Expertise Adds Significant Commercial Scale Through Distribution Network Immediately Accretive to Revenue Growth &amp; Profitability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Details | 10 | Consideration Run-Rate Cost Synergies &amp; Combined Financial Profile Timing / Approvals • Acquiring Sanara for $35 per share, representing a 46% premium to Sanara’s 30-day volume weighted average share price as of July 28, 2026 • Purchase price comprised of: • $33 per share in cash and, •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 Total Enterprise Value: Approximately $350 million Financing • MIMEDX has obtained fully committed financing through Hayfin Capital Management, LLP • Acquisition to be funded with a combination of cash on hand and a new $300 million Senior Secured Term Loan • Terms: • 6 years • SOFR + 6.25% • MIMEDX expects to issue 4.4 million shares for the stock consideration portion of the transaction • Combined leverage ratio expected to be below 3.0x by year-end 2027 • MIMEDX existing credit agreement will be terminated and all amounts outstanding will be repaid in full • Each company’s board of directors have unanimously approved the transaction • Anticipate closing by year end 2026, subject to: • Sanara shareholder approval • Customary regulatory approvals and closing conditions • In the first full year post-close, anticipating: • Total revenue well in excess of $400 million on a combined basis • Over $20 million in annualized, run-rate cost synergies to be realized in 2027 in connection with the acquisition • Adj. EBITDA margin to be above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MIMEDX | 11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Increased Morbidity &amp; Mortality Increased Hospitalization Costs Increased Reoperation Rate Reduced Quality of Life Extended Length of Stay Increased Readmission Rates The Consequences: Anastomotic leak complications include1: Targeting Surgical Applications That Reduce Health &amp; Economic Burdens Compelling Data Supporting Use of MIMEDX Products in Colorectal Anastomosis Procedures 1) Rennie O, Sharma M, Helwa N. Colorectal anastomotic leakage: a narrative review of definitions, grading systems, and consequences of leaks. Front Surg. 2024;11:1371567. Published 2024 May 2. 2) Hammond J, Lim S, Wan Y, Gao X, Patkar A. The burden of gastrointestinal anastomotic leaks: an evaluation of clinical and economic outcomes. J Gastrointest Surg. 2014;18(6):1176-1185. | 12 | The Problem: Anastomotic leaks are a serious postoperative complication of intestinal surgeries, with significant health and economic consequences that burden providers, payors and patients A Solution: Recent studies demonstrate AMNIOFIX recipients experienced significant reductions in leak rates and hospital readmissions Per 1,000 patients, the economic burden associated with anastomotic leaks is approximately $28 million2, representing a multibillion cost to the healthcare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Surgical Studies Underway Highlight Product Versatility | 13 | Generating Clinical Data in Numerous Surgical Disciplines Incorporating Use of MIMEDX Products AMNIOEFFECT in High-Risk Vascular Published April 2026 Vascular Published May 2025 Journal of Drugs in Dermatology EPIFIX in Mohs (HECON) E-Published March 2026 European Surgical Research AMNIOFIX in Complicated Diverticulitis AMNIOFIX in ACL Repair E-Published December 2025 Journal of Orthopaedic Reports AMNIOFIX in Liver Transplant RCT Enrollment Underway Manuscript in development Completed enrollment AMNIOFIX in Breast Reduction Two manuscripts drafted AMNIOFIX in Esophageal Reconstruction AMNIOFIX in Endoscopic Spine Lumbar Discectomy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Addressing a Large and Unmet Need for Wound Healing Solutions 1 - Sen CK, et al. Human Wound and Its Burden: Updated 2025 Compendium of Estimates. Adv Wound Care (New Rochelle). 2025; doi: 10.1177/21621918251359554 2 - Tettelbach WH, et al. Cost-effectiveness of dehydrated human amnion/chorion membrane allografts in lower extremity diabetic ulcer treatment. J Wound Care. 2022 Feb 1;31(Sup2):S10-S31. 3 - Serena, T. E., et al. Evaluation of lyophilized human amnion/chorion membrane (LHACM) in the management of nonhealing diabetic foot ulcers: An interim analysis of the CAMPAIGN trial. International Journal of Tissue Repair. 2025. https://doi.org/10.63676/tk3kw419 | 14 | Opportunities to Use Innovative Allografts Driven by Combination of Macro Factors and Increased Physician / Surgeon Awareness INCREASING CLINICAL EVIDENCE FAVORABLE DEMOGRAPHIC TRENDS &gt;10 million People in the US suffering from chronic and hard-to-heal wounds1 1 in 6 Medicare beneficiaries affected by these wounds1 Up to 85% Of amputations are avoidable using a wound care approach that incorporates innovative treatments2 EPIFIX® recipients experienced reductions in major amputations and hospital utilization2 98.5% higher Probability of wound closure compared to standard-of-care in latest literature3 ~$150 billion Global expenditure on wound care1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Comprehensive End-To-End Product Ecosystem Leading the field with science, clinical efficacy and a customer and patient-centric go-to-market mindset | 15 | The most studied portfolio of placental products with a growing compendium of published scientific, clinical and health outcome data Large, national placental donation network and proprietary tissue processing. New product innovations leading to untapped opportunities for growth, including an increasing footprint in the Surgical market. A key partner to healthcare professionals with industry leading support services and customer-focused approach.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Comprehensive End-To-End Product Ecosystem Unmatched peer-reviewed published evidence supporting our product portfolio | 16 | The most studied portfolio of placental products with a growing compendium of published scientific, clinical and health outcome data Broadest commercial payor coverage, GPO relationships and increasing hospital value analysis committee wins result in wide product availability Interim RCT Results Demonstrate Clinical Benefit Associated with Use of EPIEFFECT Compared to Standard of Care Publications in Nature Scientific Reports and the Journal of Inflammation are Recent Examples of Top Tier Peer Reviewed Scientific Research Using MIMEDX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Comprehensive End-To-End Product Ecosystem National footprint with labor and delivery centers to obtain placental tissue | 17 | Consent for Donation Obtained Delivery of Healthy Baby via Caesarean Section Donated Placental Tissues Recovered Tissues Transported to MIMEDX National Network of Birthing Center Partners Expectant Mothers Introduced to Donation Program Donor Tissue Tested &amp; Prepared for Manufacturing Large, national placental donation network and proprietary tissue processing.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Comprehensive End-To-End Product Ecosystem Leveraging robust IP portfolio, knowhow and expertise to drive continued innovations for Wound &amp; Surgical markets | 18 | New product innovations leading to untapped opportunities for growth, including an increasing footprint in the Surgical market. Ample Placental Supply and Manufacturing Capabilities to Support Continued Growth and Industry Demand Proprietary Processing Backed by Broad Portfolio of Intellectual Property Shelf-Stable, Packaged Product Available to Ship Robust IP Estate with 200+ Patents Significant Opportunity for Continued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Most Comprehensive End-To-End Product Ecosystem MIMEDX Connect offers a full suite of practice management tools in a single online portal to help customers simplify workflows, maximize efficiency and increase lifetime value of each customer | 19 | A key partner to healthcare professionals with industry leading support services and customer-focused approach. Order management Insurance verification status Bill pay Features include: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Priority Focus on Continued Product Innovation &amp; Diversification | 20 | Continuing to innovate and evolve our offering for Surgical &amp; Wound Numerous opportunities and areas for expansion Driving higher growth in Surgical Achieving a more balanced business mix between Wound &amp; Surgical Acquisition of Sanara Meaningfully Accelerates Both Strategic Priorities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Recap – Sustained Surgical Performance &amp; Sequential Wound Rebound 1) Adjusted Gross Margin and Adjusted EBITDA and related margins are non-GAAP financial measures. See the Appendix for a reconciliation to the nearest GAAP measure. | 21 | Surgical 15% Growth vs. Q2:25 Adj. Gross Margin1 74% GAAP Net Loss ($15MM) vs. $10MM Net Income in Q2:25 Net Sales $64MM +9% vs. Q1:26 Adj. EBITDA1 ($8MM) (13%) margin Net Cash $119MM During Q2:26 Share Buyback $13MM Submitted Two 510(k)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Experienced, Skillful Leadership Team Executing Strategy Prior Roles Include: Management Team with Track Record of Success in MedTech Joe Capper Chief Executive Officer Doug Rice Chief Financial Officer Butch Hulse Chief Administrative Officer &amp; General Counsel Kim Moller Chief Commercial Officer John Harper, Ph.D. Chief Scientific Officer &amp; SVP, R&amp;D Matt Notarianni Head of IR 22| | Tracy Chastain Chief Human Resources Officer Eric Smith SVP, Marketing &amp;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Rationale | 23 | Addressing large &amp; expanding Surgical markets and continuing a legacy of leadership in Wound Acquisition of Sanara MedTech accelerates Surgical growth Key competitive advantages with innovative products, extensive IP, proprietary technologies and expansive sales infrastructure Strong balance sheet and cash flow generation Experienced leadership team driving company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MIMEDX 1775 West Oak Commons Ct. Marietta, GA 30062 888.543.1917 | 770.651.9100 | 24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 25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 QTD | 26 | Amounts (in millions) for the three months ended June 30, 2026 June 30, 2025 Net (loss) income – GAAP $ (14.8) $ 9.6 Strategic legal and regulatory expenses 3.9 2.5 Reorganization expense 3.8 0.8 Amortization of intangible assets 1.1 2.6 Stock-based compensation expense 0.9 4.8 Depreciation expense 0.4 0.6 Strategic software implementation costs 0.4 — Transaction-related expenses — 0.6 Interest income, net (0.8) (0.7) Income tax provision (benefit) expense (2.9) 3.4 Adjusted EBITDA $ (8.1) $ 24.2 Adjusted EBITDA margin (12.6) % 24.5 %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 YTD | 27 | Amounts (in millions) for the six months ended June 30, 2026 June 30, 2025 Net (loss) income – GAAP $ (25.7) $ 16.6 Strategic legal and regulatory expenses 8.4 4.2 Reorganization expenses 3.8 0.8 Amortization of intangible assets 2.2 5.3 Depreciation expense 1.0 1.1 Strategic software implementation costs 0.4 — Transaction-related expenses 0.1 0.6 Stock-based compensation expense (0.8) 9.0 Interest income, net (1.7) (1.2) Income tax provision (benefit) expense (7.4) 5.0 Adjusted EBITDA $ (19.7) $ 41.4 Adjusted EBITDA margin (16.0)% 22.2 %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Net Income and Adjusted EPS - QTD | 28 | Amounts (in millions) for the three months ended June 30, 2026 June 30, 2025 Net income (loss) - GAAP $ (14.8) $ 9.6 Strategic legal &amp; regulatory expenses 3.9 2.5 Reorganization expense 3.8 0.8 Amortization of acquired intangible assets 0.8 2.5 Strategic software implementation costs 0.4 — Transaction-related expenses — 0.6 Adjustment for income taxes (0.7) (1.5) Adjusted net income (loss) $ (6.7) $ 14.6 Weighted average common shares outstanding - adjusted (in millions) 147.8 149.3 Adjusted EPS $ (0.05) $ 0.10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Net Income and Adjusted EPS - YTD | 29 | Amounts (in thousands) for the six months ended June 30, 2026 June 30, 2025 Net income (loss) - GAAP $ (25.7) $ 16.6 Strategic legal &amp; regulatory expenses 8.4 4.2 Reorganization expenses 3.8 0.8 Amortization of acquired intangible assets 1.6 5.1 Strategic software implementation costs 0.4 — Transaction-related expenses 0.1 0.6 Adjustment for income taxes (2.7) (3.1) Adjusted net income (loss) $ (14.1) $ 24.2 Weighted average common shares outstanding - adjusted (in millions) 148.1 149.5 Adjusted EPS $ (0.10) $ 0.16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Gross Profit and Adjusted Gross Profit Margin - QTD | 30 | Three Months Ended Amounts (in millions) June 30, 2026 June 30, 2025 GAAP gross profit $ 44.4 $ 79.9 Reorganization expense 1.9 — Amortization of acquisition-related intangible assets 0.8 2.5 Strategic software implementation costs 0.4 — Adjusted Gross Profit $ 47.4 $ 82.4 Adjusted Gross Profit Margin 73.7 % 83.6 %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Gross Profit and Adjusted Gross Profit Margin - YTD | 31 | Six Months Ended Amounts (in millions) June 30, 2026 June 30, 2025 GAAP gross profit $ 86.0 $ 151.6 Reorganization expense 1.9 — Amortization of acquisition-related intangible assets 1.6 5.1 Strategic software implementation costs 0.4 — Adjusted Gross Profit $ 89.9 $ 156.7 Adjusted Gross Profit Margin 72.8 % 83.9 %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11893</Words>
  <Characters>67775</Characters>
  <CharactersWithSpaces>81719</CharactersWithSpaces>
  <Paragraphs>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mimedxinvestorpresentati</dc:title>
</cp:coreProperties>
</file>