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ea029973601-425_mimedx.htm"/>
      <w:bookmarkStart w:id="1" w:name="ksea029973601425_mimedx"/>
      <w:bookmarkEnd w:id="0"/>
      <w:bookmarkEnd w:id="1"/>
      <w:r>
        <w:rPr>
          <w:rFonts w:ascii="Times New Roman;Times;Serif" w:hAnsi="Times New Roman;Times;Serif"/>
          <w:b w:val="false"/>
          <w:i w:val="false"/>
          <w:caps w:val="false"/>
          <w:smallCaps w:val="false"/>
          <w:sz w:val="20"/>
        </w:rPr>
        <w:t>Filed by MiMedx Group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to be filed pursuant to Rule 14a-12</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Sanara MedTech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001-39678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383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6000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we delivered another strong, double-digit growth performance in our Surgical franchise coupled with sequential improvement in our Wound Care business. Overall, we are pleased with the trajectory of the business and will reamin focused on our strategic objectives heading into the back half of the year. We’ll discuss these results in greater detail on our conference call this afternoon.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I’m excited to share with you that MIMEDX has entered into an agreement to acquire Sanara MedTech, a fantastic organization focused on developing and commercializing regenerative products for a variety surgical procedures. When I joined MIMEDX over three years ago, we stated our intent to broaden the scope of our surgical business to capitalize on what we saw as a large and underserved market. That focus has paid off, putting us in position to accelerate our long-term plan through this highly complementary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spent considerable time searching for the right strategic and cultural fit. This transformational combination with Sanara represents a tremendous growth opportunity. More importantly, the people we’ve come to know throughout the process are extremely passionate about patient care, a value that is at the core of the MIMEDX 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48400" cy="438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48400"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recovery we are seeing in the Wound Care market, continued momentum in our core Surgical business, and the pending acquisition of Sanara, we believe we will become one of the largest and most attractive regenerative medicine companies in the market. We will offer clinicians an unmatched portfolio of products for use in acute and chronic wounds, burn, surgical tissue repair, and musculoskeletal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is expected to close by year end, subject to customary closing conditions and regulatory approval. Until then, MIMEDX and Sanara remain separate, independently operated companies. You can read more about this transaction in our press release published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MIMEDX remains as committed as ever to providing products that improve outcomes, restore quality of life, and </w:t>
      </w:r>
      <w:r>
        <w:rPr>
          <w:rFonts w:ascii="Times New Roman;Times;Serif" w:hAnsi="Times New Roman;Times;Serif"/>
          <w:b/>
          <w:i/>
          <w:caps w:val="false"/>
          <w:smallCaps w:val="false"/>
          <w:sz w:val="20"/>
        </w:rPr>
        <w:t>help humans heal</w:t>
      </w:r>
      <w:r>
        <w:rPr>
          <w:rFonts w:ascii="Times New Roman;Times;Serif" w:hAnsi="Times New Roman;Times;Serif"/>
          <w:b w:val="false"/>
          <w:i w:val="false"/>
          <w:caps w:val="false"/>
          <w:smallCaps w:val="false"/>
          <w:sz w:val="20"/>
        </w:rPr>
        <w:t>. These are exciting times for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w:t>
      </w:r>
    </w:p>
    <w:p>
      <w:pPr>
        <w:pStyle w:val="TextBody"/>
        <w:bidi w:val="0"/>
        <w:spacing w:before="0" w:after="0"/>
        <w:ind w:left="0" w:right="0" w:hanging="0"/>
        <w:jc w:val="left"/>
        <w:rPr>
          <w:caps w:val="false"/>
          <w:smallCaps w:val="false"/>
        </w:rPr>
      </w:pPr>
      <w:r>
        <w:rPr>
          <w:caps w:val="false"/>
          <w:smallCaps w:val="false"/>
        </w:rPr>
        <w:t> </w:t>
      </w:r>
    </w:p>
    <w:tbl>
      <w:tblPr>
        <w:tblW w:w="3440" w:type="dxa"/>
        <w:jc w:val="left"/>
        <w:tblInd w:w="0" w:type="dxa"/>
        <w:tblLayout w:type="fixed"/>
        <w:tblCellMar>
          <w:top w:w="0" w:type="dxa"/>
          <w:left w:w="0" w:type="dxa"/>
          <w:bottom w:w="28" w:type="dxa"/>
          <w:right w:w="0" w:type="dxa"/>
        </w:tblCellMar>
      </w:tblPr>
      <w:tblGrid>
        <w:gridCol w:w="3365"/>
        <w:gridCol w:w="75"/>
      </w:tblGrid>
      <w:tr>
        <w:trPr/>
        <w:tc>
          <w:tcPr>
            <w:tcW w:w="3365" w:type="dxa"/>
            <w:tcBorders>
              <w:bottom w:val="single" w:sz="12" w:space="0" w:color="000000"/>
            </w:tcBorders>
            <w:shd w:fill="FFFFFF" w:val="clear"/>
            <w:vAlign w:val="center"/>
          </w:tcPr>
          <w:p>
            <w:pPr>
              <w:pStyle w:val="TableContents"/>
              <w:bidi w:val="0"/>
              <w:spacing w:before="0" w:after="283"/>
              <w:jc w:val="left"/>
              <w:rPr/>
            </w:pPr>
            <w:r>
              <w:rPr/>
              <w:t>/s/ Joseph H. Capper</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65" w:type="dxa"/>
            <w:tcBorders/>
            <w:shd w:fill="FFFFFF" w:val="clear"/>
            <w:tcMar>
              <w:bottom w:w="0" w:type="dxa"/>
            </w:tcMar>
            <w:vAlign w:val="center"/>
          </w:tcPr>
          <w:p>
            <w:pPr>
              <w:pStyle w:val="TableContents"/>
              <w:bidi w:val="0"/>
              <w:spacing w:before="0" w:after="283"/>
              <w:jc w:val="left"/>
              <w:rPr/>
            </w:pPr>
            <w:r>
              <w:rPr/>
              <w:t>Joseph H. Capper</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65" w:type="dxa"/>
            <w:tcBorders/>
            <w:shd w:fill="FFFFFF" w:val="clear"/>
            <w:tcMar>
              <w:bottom w:w="0" w:type="dxa"/>
            </w:tcMar>
            <w:vAlign w:val="center"/>
          </w:tcPr>
          <w:p>
            <w:pPr>
              <w:pStyle w:val="TableContents"/>
              <w:bidi w:val="0"/>
              <w:spacing w:before="0" w:after="283"/>
              <w:jc w:val="left"/>
              <w:rPr/>
            </w:pPr>
            <w:r>
              <w:rPr/>
              <w:t>MIMEDX Chief Executive Officer</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4840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248400"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48400" cy="438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48400"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928</Words>
  <Characters>5152</Characters>
  <CharactersWithSpaces>6090</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