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4" w:lineRule="exact"/>
        <w:rPr>
          <w:sz w:val="24"/>
          <w:szCs w:val="24"/>
          <w:color w:val="auto"/>
        </w:rPr>
      </w:pPr>
    </w:p>
    <w:p>
      <w:pPr>
        <w:ind w:left="580" w:right="2220" w:hanging="554"/>
        <w:spacing w:after="0" w:line="239" w:lineRule="auto"/>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Quarterly Period Ended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560" w:right="2220" w:hanging="534"/>
        <w:spacing w:after="0" w:line="255" w:lineRule="auto"/>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the transition period from _____________________to______________________</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001-35887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MIMEDX GROUP, INC.</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4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8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26-2792552</w:t>
            </w:r>
          </w:p>
        </w:tc>
        <w:tc>
          <w:tcPr>
            <w:tcW w:w="0" w:type="dxa"/>
            <w:vAlign w:val="bottom"/>
          </w:tcPr>
          <w:p>
            <w:pPr>
              <w:spacing w:after="0"/>
              <w:rPr>
                <w:sz w:val="1"/>
                <w:szCs w:val="1"/>
                <w:color w:val="auto"/>
              </w:rPr>
            </w:pPr>
          </w:p>
        </w:tc>
      </w:tr>
      <w:tr>
        <w:trPr>
          <w:trHeight w:val="234"/>
        </w:trPr>
        <w:tc>
          <w:tcPr>
            <w:tcW w:w="4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4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97"/>
        </w:trPr>
        <w:tc>
          <w:tcPr>
            <w:tcW w:w="4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1775 West Oak Commons Ct NE</w:t>
            </w:r>
          </w:p>
        </w:tc>
        <w:tc>
          <w:tcPr>
            <w:tcW w:w="484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30062</w:t>
            </w:r>
          </w:p>
        </w:tc>
        <w:tc>
          <w:tcPr>
            <w:tcW w:w="0" w:type="dxa"/>
            <w:vAlign w:val="bottom"/>
          </w:tcPr>
          <w:p>
            <w:pPr>
              <w:spacing w:after="0"/>
              <w:rPr>
                <w:sz w:val="1"/>
                <w:szCs w:val="1"/>
                <w:color w:val="auto"/>
              </w:rPr>
            </w:pPr>
          </w:p>
        </w:tc>
      </w:tr>
      <w:tr>
        <w:trPr>
          <w:trHeight w:val="238"/>
        </w:trPr>
        <w:tc>
          <w:tcPr>
            <w:tcW w:w="4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Marietta, GA</w:t>
            </w:r>
          </w:p>
        </w:tc>
        <w:tc>
          <w:tcPr>
            <w:tcW w:w="4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4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97"/>
        </w:trPr>
        <w:tc>
          <w:tcPr>
            <w:tcW w:w="4420" w:type="dxa"/>
            <w:vAlign w:val="bottom"/>
          </w:tcPr>
          <w:p>
            <w:pPr>
              <w:spacing w:after="0"/>
              <w:rPr>
                <w:sz w:val="24"/>
                <w:szCs w:val="24"/>
                <w:color w:val="auto"/>
              </w:rPr>
            </w:pPr>
          </w:p>
        </w:tc>
        <w:tc>
          <w:tcPr>
            <w:tcW w:w="4840" w:type="dxa"/>
            <w:vAlign w:val="bottom"/>
          </w:tcPr>
          <w:p>
            <w:pPr>
              <w:jc w:val="right"/>
              <w:ind w:right="3530"/>
              <w:spacing w:after="0"/>
              <w:rPr>
                <w:sz w:val="20"/>
                <w:szCs w:val="20"/>
                <w:color w:val="auto"/>
              </w:rPr>
            </w:pPr>
            <w:r>
              <w:rPr>
                <w:rFonts w:ascii="Times New Roman" w:cs="Times New Roman" w:eastAsia="Times New Roman" w:hAnsi="Times New Roman"/>
                <w:sz w:val="18"/>
                <w:szCs w:val="18"/>
                <w:b w:val="1"/>
                <w:bCs w:val="1"/>
                <w:color w:val="auto"/>
              </w:rPr>
              <w:t>(770) 651-9100</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p>
      <w:pPr>
        <w:spacing w:after="0" w:line="221"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386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90"/>
        </w:trPr>
        <w:tc>
          <w:tcPr>
            <w:tcW w:w="3860" w:type="dxa"/>
            <w:vAlign w:val="bottom"/>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4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8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MDXG</w:t>
            </w:r>
          </w:p>
        </w:tc>
        <w:tc>
          <w:tcPr>
            <w:tcW w:w="4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bl>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212529"/>
        </w:rPr>
        <w:t>Securities registered pursuant to Section 12(g) of the Act: None.</w:t>
      </w:r>
    </w:p>
    <w:p>
      <w:pPr>
        <w:spacing w:after="0" w:line="25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color w:val="auto"/>
        </w:rPr>
        <w:t>No</w:t>
      </w:r>
      <w:r>
        <w:rPr>
          <w:rFonts w:ascii="Wingdings" w:cs="Wingdings" w:eastAsia="Wingdings" w:hAnsi="Wingdings"/>
          <w:sz w:val="15"/>
          <w:szCs w:val="15"/>
          <w:b w:val="1"/>
          <w:bCs w:val="1"/>
          <w:color w:val="auto"/>
        </w:rPr>
        <w:t xml:space="preserve"> </w:t>
      </w:r>
      <w:r>
        <w:rPr>
          <w:rFonts w:ascii="MS PGothic" w:cs="MS PGothic" w:eastAsia="MS PGothic" w:hAnsi="MS PGothic"/>
          <w:sz w:val="15"/>
          <w:szCs w:val="15"/>
          <w:color w:val="auto"/>
        </w:rPr>
        <w:t>☐</w:t>
      </w:r>
    </w:p>
    <w:p>
      <w:pPr>
        <w:spacing w:after="0" w:line="239"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 w:name="page2"/>
    <w:bookmarkEnd w:id="1"/>
    <w:p>
      <w:pPr>
        <w:ind w:left="20"/>
        <w:spacing w:after="0" w:line="207" w:lineRule="exact"/>
        <w:tabs>
          <w:tab w:leader="none" w:pos="2620" w:val="left"/>
          <w:tab w:leader="none" w:pos="4700" w:val="left"/>
          <w:tab w:leader="none" w:pos="67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306" w:lineRule="exact"/>
        <w:rPr>
          <w:sz w:val="20"/>
          <w:szCs w:val="20"/>
          <w:color w:val="auto"/>
        </w:rPr>
      </w:pPr>
    </w:p>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145,925,591 shares of the registrant’s common stock, par value $0.001 per share, outstanding as of October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500" w:type="dxa"/>
            <w:vAlign w:val="bottom"/>
          </w:tcPr>
          <w:p>
            <w:pPr>
              <w:spacing w:after="0"/>
              <w:rPr>
                <w:sz w:val="16"/>
                <w:szCs w:val="16"/>
                <w:color w:val="auto"/>
              </w:rPr>
            </w:pPr>
          </w:p>
        </w:tc>
        <w:tc>
          <w:tcPr>
            <w:tcW w:w="8860" w:type="dxa"/>
            <w:vAlign w:val="bottom"/>
            <w:gridSpan w:val="2"/>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INFORMATION</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w:t>
            </w:r>
          </w:p>
        </w:tc>
        <w:tc>
          <w:tcPr>
            <w:tcW w:w="18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18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Stockholders’ Equity</w:t>
            </w:r>
          </w:p>
        </w:tc>
        <w:tc>
          <w:tcPr>
            <w:tcW w:w="18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8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10</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8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19</w:t>
            </w: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26</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8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26</w:t>
            </w:r>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8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8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8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27</w:t>
            </w:r>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1A</w:t>
            </w:r>
          </w:p>
        </w:tc>
        <w:tc>
          <w:tcPr>
            <w:tcW w:w="8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27</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8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28</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8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826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28</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82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29</w:t>
            </w:r>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8260" w:type="dxa"/>
            <w:vAlign w:val="bottom"/>
            <w:shd w:val="clear" w:color="auto" w:fill="CCEEFF"/>
          </w:tcPr>
          <w:p>
            <w:pPr>
              <w:spacing w:after="0"/>
              <w:rPr>
                <w:sz w:val="16"/>
                <w:szCs w:val="16"/>
                <w:color w:val="auto"/>
              </w:rPr>
            </w:pPr>
          </w:p>
        </w:tc>
        <w:tc>
          <w:tcPr>
            <w:tcW w:w="18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30</w:t>
            </w: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Explanatory Note and Important Cautionary Statement Regarding Forward-Looking Statements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As used herein, the terms “</w:t>
      </w:r>
      <w:r>
        <w:rPr>
          <w:rFonts w:ascii="Times New Roman" w:cs="Times New Roman" w:eastAsia="Times New Roman" w:hAnsi="Times New Roman"/>
          <w:sz w:val="18"/>
          <w:szCs w:val="18"/>
          <w:b w:val="1"/>
          <w:bCs w:val="1"/>
          <w:i w:val="1"/>
          <w:iCs w:val="1"/>
          <w:color w:val="auto"/>
        </w:rPr>
        <w:t>MIMEDX,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 to MiMedx Group, Inc., a Florida corporation, and its consolidated subsidiaries as a combined entity, except where it is clear that the terms mean only MiMedx Group, Inc.</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Certain statements made in this Quarterly Report on Form 10-Q (this “</w:t>
      </w:r>
      <w:r>
        <w:rPr>
          <w:rFonts w:ascii="Times New Roman" w:cs="Times New Roman" w:eastAsia="Times New Roman" w:hAnsi="Times New Roman"/>
          <w:sz w:val="18"/>
          <w:szCs w:val="18"/>
          <w:b w:val="1"/>
          <w:bCs w:val="1"/>
          <w:i w:val="1"/>
          <w:iCs w:val="1"/>
          <w:color w:val="auto"/>
        </w:rPr>
        <w:t>Quarterly Report</w:t>
      </w:r>
      <w:r>
        <w:rPr>
          <w:rFonts w:ascii="Times New Roman" w:cs="Times New Roman" w:eastAsia="Times New Roman" w:hAnsi="Times New Roman"/>
          <w:sz w:val="18"/>
          <w:szCs w:val="18"/>
          <w:color w:val="auto"/>
        </w:rPr>
        <w:t>”) are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 All statements herein relating to events or results that may occur in the future are forward-looking statements, including, without limitation, statements regarding the following:</w:t>
      </w:r>
    </w:p>
    <w:p>
      <w:pPr>
        <w:spacing w:after="0" w:line="12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focus and current business priorities, including broadening of our product portfolio, and our ability to implement these priorities;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our Wound products in response to recent changes in Medicare reimbursement for skin substitutes;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impact of our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costs relating to compliance with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allocation;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pending acquisition of Sanara MedTech Inc., including the expected timing of completion, the receipt of required regulatory and shareholder approvals, the anticipated financing of the transaction, and the anticipated benefits, costs and impact of the transaction on our business, results of operations and financial condition;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outcome of pending litigation and investigations;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income tax liability;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and market trends;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generally can be identified by words such as “expect,” “will,” “change,” “intend,” “seek,” “target,” “future,” “plan,” “continue,” “potential,” “possible,” “could,” “estimate,” “may,” “anticipate,” “to be” and similar expressions. 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from any future actions, results, financial condition, performance or achievements expressed or implied by any such forward-looking statements. Factors that may cause such a difference include, without limitation,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2025 (our “</w:t>
      </w:r>
      <w:r>
        <w:rPr>
          <w:rFonts w:ascii="Times New Roman" w:cs="Times New Roman" w:eastAsia="Times New Roman" w:hAnsi="Times New Roman"/>
          <w:sz w:val="18"/>
          <w:szCs w:val="18"/>
          <w:b w:val="1"/>
          <w:bCs w:val="1"/>
          <w:i w:val="1"/>
          <w:iCs w:val="1"/>
          <w:color w:val="auto"/>
        </w:rPr>
        <w:t>2025 Form 10-K</w:t>
      </w:r>
      <w:r>
        <w:rPr>
          <w:rFonts w:ascii="Times New Roman" w:cs="Times New Roman" w:eastAsia="Times New Roman" w:hAnsi="Times New Roman"/>
          <w:sz w:val="18"/>
          <w:szCs w:val="18"/>
          <w:color w:val="auto"/>
        </w:rPr>
        <w:t>”),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February 25, 2026 and those discussed in Part II, Item 1A, Risk Factors, of this Quarterly report.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Quarterly Report is specifically qualified in its entirety by the aforementioned factors. Readers are advised to carefully read this Quarterly Report in conjunction with the important disclaimers set forth above prior to reaching any conclusions or making any investment decisions and not to place undue reliance on forward-looking statements, which speak only as of the date of the filing of this Quarterly Report with the SEC.</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9"/>
              </w:rPr>
              <w:t>MIMEDX GROUP, INC. AND SUBSIDIARIES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134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8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166,121</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277,471</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64,266</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 term debt, net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250,000,000 shares authorized; 149,389,990 issued and 145,925,591</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September 30, 2026 and 148,093,920 issued and outstanding at December 31, 2025</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299,081</w:t>
            </w:r>
          </w:p>
        </w:tc>
        <w:tc>
          <w:tcPr>
            <w:tcW w:w="0" w:type="dxa"/>
            <w:vAlign w:val="bottom"/>
          </w:tcPr>
          <w:p>
            <w:pPr>
              <w:spacing w:after="0"/>
              <w:rPr>
                <w:sz w:val="1"/>
                <w:szCs w:val="1"/>
                <w:color w:val="auto"/>
              </w:rPr>
            </w:pPr>
          </w:p>
        </w:tc>
      </w:tr>
      <w:tr>
        <w:trPr>
          <w:trHeight w:val="22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3,464,399 shares at September 30, 2026 and 0 shares at December 31, 2025</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256,548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color w:val="auto"/>
        </w:rPr>
        <w:t>MIMEDX GROUP, INC.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9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20"/>
                <w:szCs w:val="20"/>
                <w:color w:val="auto"/>
              </w:rPr>
            </w:pPr>
          </w:p>
        </w:tc>
        <w:tc>
          <w:tcPr>
            <w:tcW w:w="27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r>
      <w:tr>
        <w:trPr>
          <w:trHeight w:val="250"/>
        </w:trPr>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300,535</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53,958</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246,577</w:t>
            </w:r>
          </w:p>
        </w:tc>
      </w:tr>
      <w:tr>
        <w:trPr>
          <w:trHeight w:val="270"/>
        </w:trPr>
        <w:tc>
          <w:tcPr>
            <w:tcW w:w="4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193,121</w:t>
            </w: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r>
      <w:tr>
        <w:trPr>
          <w:trHeight w:val="229"/>
        </w:trPr>
        <w:tc>
          <w:tcPr>
            <w:tcW w:w="4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42,810</w:t>
            </w:r>
          </w:p>
        </w:tc>
      </w:tr>
      <w:tr>
        <w:trPr>
          <w:trHeight w:val="270"/>
        </w:trPr>
        <w:tc>
          <w:tcPr>
            <w:tcW w:w="4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44,467</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r>
      <w:tr>
        <w:trPr>
          <w:trHeight w:val="196"/>
        </w:trPr>
        <w:tc>
          <w:tcPr>
            <w:tcW w:w="4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(8,683)</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(34,383)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33,387</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3"/>
        </w:trPr>
        <w:tc>
          <w:tcPr>
            <w:tcW w:w="47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Basic net (loss) income per common share</w:t>
            </w:r>
          </w:p>
        </w:tc>
        <w:tc>
          <w:tcPr>
            <w:tcW w:w="24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0.23</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145,865,259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148,035,283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147,359,552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147,692,441</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145,865,259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149,713,653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147,359,552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149,579,861</w:t>
            </w:r>
          </w:p>
        </w:tc>
      </w:tr>
    </w:tbl>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720" w:top="1053" w:right="7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MIMEDX GROUP,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color w:val="auto"/>
              </w:rPr>
              <w:t>Additional Paid-</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20" w:type="dxa"/>
            <w:vAlign w:val="bottom"/>
            <w:gridSpan w:val="10"/>
          </w:tcPr>
          <w:p>
            <w:pPr>
              <w:jc w:val="right"/>
              <w:ind w:right="390"/>
              <w:spacing w:after="0"/>
              <w:rPr>
                <w:sz w:val="20"/>
                <w:szCs w:val="20"/>
                <w:color w:val="auto"/>
              </w:rPr>
            </w:pPr>
            <w:r>
              <w:rPr>
                <w:rFonts w:ascii="Times New Roman" w:cs="Times New Roman" w:eastAsia="Times New Roman" w:hAnsi="Times New Roman"/>
                <w:sz w:val="18"/>
                <w:szCs w:val="18"/>
                <w:color w:val="auto"/>
              </w:rPr>
              <w:t>Common Stock Issued</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rPr>
              <w:t>In</w:t>
            </w:r>
          </w:p>
        </w:tc>
        <w:tc>
          <w:tcPr>
            <w:tcW w:w="230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rPr>
              <w:t>Treasury Stock</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Capital</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149,188,840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297,094</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3,464,399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(12,859)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216,003</w:t>
            </w:r>
          </w:p>
        </w:tc>
      </w:tr>
      <w:tr>
        <w:trPr>
          <w:trHeight w:val="176"/>
        </w:trPr>
        <w:tc>
          <w:tcPr>
            <w:tcW w:w="26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30"/>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175,830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9"/>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net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3"/>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r>
      <w:tr>
        <w:trPr>
          <w:trHeight w:val="223"/>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149,389,990</w:t>
            </w:r>
          </w:p>
        </w:tc>
        <w:tc>
          <w:tcPr>
            <w:tcW w:w="8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3,464,399</w:t>
            </w:r>
          </w:p>
        </w:tc>
        <w:tc>
          <w:tcPr>
            <w:tcW w:w="80" w:type="dxa"/>
            <w:vAlign w:val="bottom"/>
          </w:tcPr>
          <w:p>
            <w:pPr>
              <w:spacing w:after="0"/>
              <w:rPr>
                <w:sz w:val="19"/>
                <w:szCs w:val="19"/>
                <w:color w:val="auto"/>
              </w:rPr>
            </w:pPr>
          </w:p>
        </w:tc>
        <w:tc>
          <w:tcPr>
            <w:tcW w:w="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(12,859)</w:t>
            </w:r>
          </w:p>
        </w:tc>
        <w:tc>
          <w:tcPr>
            <w:tcW w:w="80" w:type="dxa"/>
            <w:vAlign w:val="bottom"/>
          </w:tcPr>
          <w:p>
            <w:pPr>
              <w:spacing w:after="0"/>
              <w:rPr>
                <w:sz w:val="19"/>
                <w:szCs w:val="19"/>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(77,064)</w:t>
            </w: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211,082</w:t>
            </w:r>
          </w:p>
        </w:tc>
      </w:tr>
      <w:tr>
        <w:trPr>
          <w:trHeight w:val="20"/>
        </w:trPr>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color w:val="auto"/>
              </w:rPr>
              <w:t>Additional Paid-</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9"/>
          </w:tcPr>
          <w:p>
            <w:pPr>
              <w:jc w:val="center"/>
              <w:ind w:right="170"/>
              <w:spacing w:after="0"/>
              <w:rPr>
                <w:sz w:val="20"/>
                <w:szCs w:val="20"/>
                <w:color w:val="auto"/>
              </w:rPr>
            </w:pPr>
            <w:r>
              <w:rPr>
                <w:rFonts w:ascii="Times New Roman" w:cs="Times New Roman" w:eastAsia="Times New Roman" w:hAnsi="Times New Roman"/>
                <w:sz w:val="18"/>
                <w:szCs w:val="18"/>
                <w:color w:val="auto"/>
              </w:rPr>
              <w:t>Common Stock Issued</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In</w:t>
            </w:r>
          </w:p>
        </w:tc>
        <w:tc>
          <w:tcPr>
            <w:tcW w:w="2300" w:type="dxa"/>
            <w:vAlign w:val="bottom"/>
            <w:gridSpan w:val="9"/>
          </w:tcPr>
          <w:p>
            <w:pPr>
              <w:jc w:val="center"/>
              <w:ind w:right="60"/>
              <w:spacing w:after="0"/>
              <w:rPr>
                <w:sz w:val="20"/>
                <w:szCs w:val="20"/>
                <w:color w:val="auto"/>
              </w:rPr>
            </w:pPr>
            <w:r>
              <w:rPr>
                <w:rFonts w:ascii="Times New Roman" w:cs="Times New Roman" w:eastAsia="Times New Roman" w:hAnsi="Times New Roman"/>
                <w:sz w:val="18"/>
                <w:szCs w:val="18"/>
                <w:color w:val="auto"/>
                <w:w w:val="98"/>
              </w:rPr>
              <w:t>Treasury Stock</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2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147,924,862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291,096</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216,624</w:t>
            </w:r>
          </w:p>
        </w:tc>
      </w:tr>
      <w:tr>
        <w:trPr>
          <w:trHeight w:val="176"/>
        </w:trPr>
        <w:tc>
          <w:tcPr>
            <w:tcW w:w="26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29"/>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130,338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net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r>
      <w:tr>
        <w:trPr>
          <w:trHeight w:val="223"/>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148,075,930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296,670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(57,872)</w:t>
            </w: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238,946</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91"/>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Additional Paid-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color w:val="auto"/>
              </w:rPr>
              <w:t>Common Stock Issued</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In</w:t>
            </w:r>
          </w:p>
        </w:tc>
        <w:tc>
          <w:tcPr>
            <w:tcW w:w="230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8"/>
                <w:szCs w:val="18"/>
                <w:color w:val="auto"/>
              </w:rPr>
              <w:t>Treasury Stock</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Accumulated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2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Capital</w:t>
            </w:r>
          </w:p>
        </w:tc>
        <w:tc>
          <w:tcPr>
            <w:tcW w:w="10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Deficit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148,093,920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299,081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256,548</w:t>
            </w:r>
          </w:p>
        </w:tc>
      </w:tr>
      <w:tr>
        <w:trPr>
          <w:trHeight w:val="184"/>
        </w:trPr>
        <w:tc>
          <w:tcPr>
            <w:tcW w:w="26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 repurchases pursuant to share</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4"/>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repurchase plan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3,464,399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(12,859)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w:t>
            </w:r>
          </w:p>
        </w:tc>
      </w:tr>
      <w:tr>
        <w:trPr>
          <w:trHeight w:val="230"/>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30"/>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368,108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9"/>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net</w:t>
            </w: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30"/>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48"/>
        </w:trPr>
        <w:tc>
          <w:tcPr>
            <w:tcW w:w="2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149,389,990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300,856</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3,464,399</w:t>
            </w:r>
          </w:p>
        </w:tc>
        <w:tc>
          <w:tcPr>
            <w:tcW w:w="80" w:type="dxa"/>
            <w:vAlign w:val="bottom"/>
            <w:tcBorders>
              <w:top w:val="single" w:sz="8" w:color="auto"/>
              <w:bottom w:val="single" w:sz="8" w:color="auto"/>
            </w:tcBorders>
            <w:gridSpan w:val="2"/>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(12,859)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211,082</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Paid-In</w:t>
            </w:r>
          </w:p>
        </w:tc>
        <w:tc>
          <w:tcPr>
            <w:tcW w:w="21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2380" w:type="dxa"/>
            <w:vAlign w:val="bottom"/>
          </w:tcPr>
          <w:p>
            <w:pPr>
              <w:spacing w:after="0"/>
              <w:rPr>
                <w:sz w:val="19"/>
                <w:szCs w:val="19"/>
                <w:color w:val="auto"/>
              </w:rPr>
            </w:pPr>
          </w:p>
        </w:tc>
        <w:tc>
          <w:tcPr>
            <w:tcW w:w="12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w:t>
            </w:r>
          </w:p>
        </w:tc>
        <w:tc>
          <w:tcPr>
            <w:tcW w:w="12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Deficit</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146,932,032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284,219</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193,107</w:t>
            </w:r>
          </w:p>
        </w:tc>
      </w:tr>
      <w:tr>
        <w:trPr>
          <w:trHeight w:val="176"/>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8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w:t>
            </w: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148,075,930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296,670</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238,946</w:t>
            </w:r>
          </w:p>
        </w:tc>
      </w:tr>
      <w:tr>
        <w:trPr>
          <w:trHeight w:val="21"/>
        </w:trPr>
        <w:tc>
          <w:tcPr>
            <w:tcW w:w="2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MIMEDX GROUP,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CONDENSED CONSOLIDATED STATEMENTS OF CASH FLOWS </w:t>
      </w:r>
      <w:r>
        <w:rPr>
          <w:rFonts w:ascii="Times New Roman" w:cs="Times New Roman" w:eastAsia="Times New Roman" w:hAnsi="Times New Roman"/>
          <w:sz w:val="16"/>
          <w:szCs w:val="16"/>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9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33,387</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flows provided by operating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(decrease) in cash resulting from changes in: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 operating activities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49,047</w:t>
            </w:r>
          </w:p>
        </w:tc>
      </w:tr>
      <w:tr>
        <w:trPr>
          <w:trHeight w:val="203"/>
        </w:trPr>
        <w:tc>
          <w:tcPr>
            <w:tcW w:w="7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equipment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 application costs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r>
      <w:tr>
        <w:trPr>
          <w:trHeight w:val="203"/>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Citizens Term Loan Facility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share repurchases pursuant to Share Repurchase Plan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repurchased for tax withholdings on vesting of restricted stock</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Profit Share Payment (Note 12)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37,667</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104,416</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142,083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MIMEDX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39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MiMedx Group, Inc. (together with its subsidiaries, except where the context otherwise requires, “</w:t>
      </w:r>
      <w:r>
        <w:rPr>
          <w:rFonts w:ascii="Times New Roman" w:cs="Times New Roman" w:eastAsia="Times New Roman" w:hAnsi="Times New Roman"/>
          <w:sz w:val="18"/>
          <w:szCs w:val="18"/>
          <w:b w:val="1"/>
          <w:bCs w:val="1"/>
          <w:i w:val="1"/>
          <w:iCs w:val="1"/>
          <w:color w:val="auto"/>
        </w:rPr>
        <w:t>MIMEDX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a pioneer and leader focused on helping humans heal. With more than a decade and a half of helping clinicians manage chronic and other hard-to-heal wounds, MIMEDX provides a leading portfolio of products for applications in the wound care, burn, and surgical sectors of healthcare. The Company’s vision is to be the leading global provider of healing solutions through relentless innovation to restore quality of life. All of the Company’s products sold in the United States are regulated by the United States Food and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 portfolio and product development focuses on Surgical and Wound markets.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business is focused primarily on the United States, but the Company also has an emerging commercial presence in several international locations, including Japan.</w:t>
      </w:r>
    </w:p>
    <w:p>
      <w:pPr>
        <w:spacing w:after="0" w:line="10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Please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to the Company’s Consolidated Financial Statements included in the Company’s Annual Report on Form 10-K for the year ended December 31, 2025 (the “</w:t>
      </w:r>
      <w:r>
        <w:rPr>
          <w:rFonts w:ascii="Times New Roman" w:cs="Times New Roman" w:eastAsia="Times New Roman" w:hAnsi="Times New Roman"/>
          <w:sz w:val="18"/>
          <w:szCs w:val="18"/>
          <w:b w:val="1"/>
          <w:bCs w:val="1"/>
          <w:i w:val="1"/>
          <w:iCs w:val="1"/>
          <w:color w:val="auto"/>
        </w:rPr>
        <w:t>2025 Form 10-K</w:t>
      </w:r>
      <w:r>
        <w:rPr>
          <w:rFonts w:ascii="Times New Roman" w:cs="Times New Roman" w:eastAsia="Times New Roman" w:hAnsi="Times New Roman"/>
          <w:sz w:val="18"/>
          <w:szCs w:val="18"/>
          <w:color w:val="auto"/>
        </w:rPr>
        <w:t>”),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February 25, 2026 for a description of all significant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for interim financial information and with the instructions to Form 10-Q and Article 10 of Regulation S-X. Accordingly, they do not include all of the information and footnotes required by GAAP for complete financial statements. In the opinion of management, all adjustments considered necessary for a fair presentation of the results of operations for the periods presented have been included. The operating results for the three and nine months ended September 30, 2026 and 2025 are not necessarily indicative of the results that may be expected for the full fiscal year. The balance sheet as of December 31, 2025 was derived from the audited consolidated financial statements at that date, but does not include all of the information and footnotes required by GAAP for complete financial statements.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historical consolidated financial statements of the Company included in the 2025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MiMedx Group, Inc. and its wholly-owned subsidiaries. All intercompany balances and transactions have been eliminated upon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requires management to make estimates and assumptions that affect the reported amounts of assets and liabilities and disclosure of contingent assets and liabilities at the date of the condensed consolidated financial statements and the reported condensed consolidated statements of operations during the reporting period. Actual results could differ from those estimates. Significant estimates include, among others, estimate of allowance for credit losses, estimates of fair value of and the probable achievement of performance conditions associated with share-based payment awards, estimates of returns and allowances, and valuation of deferred tax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repurchased by the Company are recorded as treasury stock at the cost to acquire such shares, reflecting the consideration paid to acquire shares, applicable commissions paid or payable to brokers, and any excise taxes arising from such transactions. Subsequent re-issuances of shares held in treasury are assumed to be released on a FIFO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2024-03 - Income Statement - Reporting Comprehensive Income - Expense Disaggregation Disclosures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which requires disaggregated disclosure of certain income statement expenses within the footnotes to the financial statements.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intended to address requests from investors for more detailed information about the types of expenses in commonly presented expense captions such as cost of sales, selling, general and administrative expenses, and research and development. Adoption is required for annual periods beginning after December 15, 2026 and interim periods within annual periods beginning after December 15, 2027. The Company is currently evaluating the impact of this standard on its consolidated financial statements.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other ASUs issued and not yet effective as of September 30, 2026, and through the date of this report, were assessed and determined to be either not applicable or are expected to have minimal impact on the Company’s current and future financial position and results of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Accounts Receivable, Net</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2"/>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Pr>
          <w:p>
            <w:pPr>
              <w:spacing w:after="0"/>
              <w:rPr>
                <w:sz w:val="24"/>
                <w:szCs w:val="24"/>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51,408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84,410</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(14,139)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(8,703)</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37,269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75,707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Activity related to the Company’s allowance for credit losses for the three and nine months ended September 30, 2026 and 2025 was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4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4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24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4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24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4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4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30, 2026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50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50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248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6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clean room equipment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cost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was the following (in thousands):</w:t>
            </w: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4"/>
                <w:szCs w:val="24"/>
                <w:color w:val="auto"/>
              </w:rPr>
            </w:pPr>
          </w:p>
        </w:tc>
        <w:tc>
          <w:tcPr>
            <w:tcW w:w="3020" w:type="dxa"/>
            <w:vAlign w:val="bottom"/>
            <w:gridSpan w:val="6"/>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are summarized as follows (in thousands):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Accumulated</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Carrying</w:t>
            </w:r>
          </w:p>
        </w:tc>
        <w:tc>
          <w:tcPr>
            <w:tcW w:w="120" w:type="dxa"/>
            <w:vAlign w:val="bottom"/>
          </w:tcPr>
          <w:p>
            <w:pPr>
              <w:spacing w:after="0"/>
              <w:rPr>
                <w:sz w:val="15"/>
                <w:szCs w:val="15"/>
                <w:color w:val="auto"/>
              </w:rPr>
            </w:pPr>
          </w:p>
        </w:tc>
        <w:tc>
          <w:tcPr>
            <w:tcW w:w="80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Accumulated</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Net Carrying</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 and know-how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Patents in process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1"/>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6"/>
        </w:trPr>
        <w:tc>
          <w:tcPr>
            <w:tcW w:w="2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2026</w:t>
            </w:r>
          </w:p>
        </w:tc>
        <w:tc>
          <w:tcPr>
            <w:tcW w:w="160" w:type="dxa"/>
            <w:vAlign w:val="bottom"/>
          </w:tcPr>
          <w:p>
            <w:pPr>
              <w:spacing w:after="0"/>
              <w:rPr>
                <w:sz w:val="24"/>
                <w:szCs w:val="24"/>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200" w:type="dxa"/>
            <w:vAlign w:val="bottom"/>
          </w:tcPr>
          <w:p>
            <w:pPr>
              <w:spacing w:after="0"/>
              <w:rPr>
                <w:sz w:val="19"/>
                <w:szCs w:val="19"/>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to sales agents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30"/>
        </w:trPr>
        <w:tc>
          <w:tcPr>
            <w:tcW w:w="20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Legal costs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20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9"/>
        </w:trPr>
        <w:tc>
          <w:tcPr>
            <w:tcW w:w="20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Estimated sales returns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30"/>
        </w:trPr>
        <w:tc>
          <w:tcPr>
            <w:tcW w:w="20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3"/>
        </w:trPr>
        <w:tc>
          <w:tcPr>
            <w:tcW w:w="20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11,383</w:t>
            </w:r>
          </w:p>
        </w:tc>
      </w:tr>
      <w:tr>
        <w:trPr>
          <w:trHeight w:val="21"/>
        </w:trPr>
        <w:tc>
          <w:tcPr>
            <w:tcW w:w="2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Long Term Debt,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Citizens Credit Agreement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January 19, 2024, the Company entered into a Credit Agreement (the “</w:t>
      </w:r>
      <w:r>
        <w:rPr>
          <w:rFonts w:ascii="Times New Roman" w:cs="Times New Roman" w:eastAsia="Times New Roman" w:hAnsi="Times New Roman"/>
          <w:sz w:val="18"/>
          <w:szCs w:val="18"/>
          <w:b w:val="1"/>
          <w:bCs w:val="1"/>
          <w:i w:val="1"/>
          <w:iCs w:val="1"/>
          <w:color w:val="auto"/>
        </w:rPr>
        <w:t>Citizens Credit Agreement</w:t>
      </w:r>
      <w:r>
        <w:rPr>
          <w:rFonts w:ascii="Times New Roman" w:cs="Times New Roman" w:eastAsia="Times New Roman" w:hAnsi="Times New Roman"/>
          <w:sz w:val="18"/>
          <w:szCs w:val="18"/>
          <w:color w:val="auto"/>
        </w:rPr>
        <w:t>”) with Citizens Bank, N.A. and Bank of America, N.A. (collectively,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which provided the Company with a $75.0 million Revolving Credit Facility and a $20.0 million Term Loan Facility.</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2026, the Company repaid the remaining outstanding principal balance of $17.3 million under the Citizens Term Loan Facility using cash on hand. The repayment was accounted for as a debt extinguishment. The recognized loss on extinguishment of debt, consisting of unamortized deferred financing costs and issue discount, was immaterial.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Citizens Credit Agreement remained in effect as of September 30, 2026, and the Company had no amounts drawn under the Revolving Credit Facility at that date. Unamortized deferred financing costs related to the Revolving Credit Facility were $0.5 million as of September 30, 2026, reflected as a component of other assets in the unaudited condensed consolidated balance sheet as of that date.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not in compliance with a certain financial covenant under the Citizens Credit Agreement as of September 30, 2026, constituting an Event of Default (as defined). The Company and the Lenders agreed to waive the default (the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until such time that the Company regains compliance with that financial covenant. Pursuant to the Waiver, the Company is not permitted to borrow upon the Revolving Credit Facility until such time that it regains compliance with the financial covenants.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related to the Term Loan Facility, included in interest income, net in the unaudited condensed consolidated statements of operations, was $0.2 million and $0.4 million for the three months ended September 30, 2026 and September 30, 2025, respectively. Interest expense related to the Term Loan Facility was $0.8 million and $1.2 million for the nine months ended September 30, 2026 and September 30, 2025, respectively.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Commitment Fee on the Revolving Credit Facility, included in interest income, net in the unaudited condensed consolidated statements of operations, was $0.1 million for each of the three months ended September 30, 2026 and September 30, 2025 and $0.3 million for each of the nine months ended September 30, 2026 and September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Income Per Common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per common share is calculated using two methods: basic and diluted.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Net (Loss) Income Per Common Share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calculation of basic net (loss) income per common share for each of the three and nine months ended September 30, 2026 and 2025 (in thousands, except share and per share amounts).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29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7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145,865,259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148,035,283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147,359,552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147,692,441</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income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Net (Loss) Income Per Common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diluted net (loss) income per common share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29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8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145,865,259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148,035,283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147,359,552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147,692,441</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Potential common shares (a)</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1,206,093</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525,985</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stock unit awards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155,342</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1,678,370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1,887,420</w:t>
            </w:r>
          </w:p>
        </w:tc>
      </w:tr>
      <w:tr>
        <w:trPr>
          <w:trHeight w:val="176"/>
        </w:trPr>
        <w:tc>
          <w:tcPr>
            <w:tcW w:w="4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adjusted for potential</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145,865,259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149,713,653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147,359,552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149,579,861</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income per common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1"/>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2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common shares outstanding for the calculation of diluted net loss per common share does not include the following adjustments for potential common shares below because their effects were determined to be antidilutive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5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819,819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169,369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148,403</w:t>
            </w:r>
          </w:p>
        </w:tc>
        <w:tc>
          <w:tcPr>
            <w:tcW w:w="100" w:type="dxa"/>
            <w:vAlign w:val="bottom"/>
          </w:tcPr>
          <w:p>
            <w:pPr>
              <w:spacing w:after="0"/>
              <w:rPr>
                <w:sz w:val="19"/>
                <w:szCs w:val="19"/>
                <w:color w:val="auto"/>
              </w:rPr>
            </w:pP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 awards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 common shares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1,065,902</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1,083,881</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Company were 21.5% and 26.7% for the three months ended September 30, 2026 and September 30, 2025, respectively. The effective tax rates for the company were 22.2% and 24.9% for the nine months ended September 30, 2026 and 2025,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that the Company generated loss before income tax provision for the three and nine months ended September 30, 2026, meaning that decreases in the effective tax rates would be unfavorable for those periods. Conversely, the Company generated income before income tax provision for the three and nine months ended September 30, 2025, meaning that decreases in its effective tax rate would be favorable for those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2026 was unfavorably impacted by certain deduction limitations and merger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the nine months ended September 30, 2026 was further unfavorably impacted by lower stock-based compensation deductions.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2025 was unfavorably impacted by certain deduction limitations. For the nine months ended September 30, 2025, this effect was offset by greater stock-based compensation deductions.</w:t>
      </w:r>
    </w:p>
    <w:p>
      <w:pPr>
        <w:spacing w:after="0" w:line="104"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 of Cash Flow and Non-cash Investing and Financing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cash payments, receipts, and non-cash activities are as follows (in thousands):</w:t>
            </w: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18"/>
        </w:trPr>
        <w:tc>
          <w:tcPr>
            <w:tcW w:w="2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5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40" w:type="dxa"/>
            <w:vAlign w:val="bottom"/>
            <w:tcBorders>
              <w:bottom w:val="single" w:sz="8" w:color="auto"/>
            </w:tcBorders>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r>
      <w:tr>
        <w:trPr>
          <w:trHeight w:val="230"/>
        </w:trPr>
        <w:tc>
          <w:tcPr>
            <w:tcW w:w="24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9"/>
        </w:trPr>
        <w:tc>
          <w:tcPr>
            <w:tcW w:w="24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assets arising from operating lease liabilities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shares pursuant to employee stock purchase plan</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and Debt Financing Commitment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July 29, 2026, the Company entered into a definitive agreement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Sanara MedTech Inc. (“</w:t>
      </w:r>
      <w:r>
        <w:rPr>
          <w:rFonts w:ascii="Times New Roman" w:cs="Times New Roman" w:eastAsia="Times New Roman" w:hAnsi="Times New Roman"/>
          <w:sz w:val="18"/>
          <w:szCs w:val="18"/>
          <w:b w:val="1"/>
          <w:bCs w:val="1"/>
          <w:i w:val="1"/>
          <w:iCs w:val="1"/>
          <w:color w:val="auto"/>
        </w:rPr>
        <w:t>Sanara</w:t>
      </w:r>
      <w:r>
        <w:rPr>
          <w:rFonts w:ascii="Times New Roman" w:cs="Times New Roman" w:eastAsia="Times New Roman" w:hAnsi="Times New Roman"/>
          <w:sz w:val="18"/>
          <w:szCs w:val="18"/>
          <w:color w:val="auto"/>
        </w:rPr>
        <w:t>”) to acquire all outstanding shares of Sanara (the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in a cash and stock transaction that values Sanara at $35.00 per share, reflecting an enterprise value of approximately $350 million. Under the terms of the agreement, each outstanding share of Sanara common stock will be converted into the right to receive $33.00 in cash and 0.4735 shares of the Company’s common stock, representing aggregate consideration of approximately $303 million in cash and approximately 4.4 million shares of the Company’s common stock, subject to applicable adjustments.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both parties. Under specified circumstances, Sanara would be required to pay the Company a termination fee of $9.7 million, and, under other specified circumstances, the Company would be required to pay Sanara a termination fee of $22.5 million. No amounts related to these contingent termination fees have been accrued as of September 30, 2026, as payment of either fee is not considered probable.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Consummation of the Acquisition remains subject to expiration or termination of the applicable waiting period under the Hart-Scott-Rodino Antitrust Improvements Act (“</w:t>
      </w:r>
      <w:r>
        <w:rPr>
          <w:rFonts w:ascii="Times New Roman" w:cs="Times New Roman" w:eastAsia="Times New Roman" w:hAnsi="Times New Roman"/>
          <w:sz w:val="18"/>
          <w:szCs w:val="18"/>
          <w:b w:val="1"/>
          <w:bCs w:val="1"/>
          <w:i w:val="1"/>
          <w:iCs w:val="1"/>
          <w:color w:val="auto"/>
        </w:rPr>
        <w:t>HSR</w:t>
      </w:r>
      <w:r>
        <w:rPr>
          <w:rFonts w:ascii="Times New Roman" w:cs="Times New Roman" w:eastAsia="Times New Roman" w:hAnsi="Times New Roman"/>
          <w:sz w:val="18"/>
          <w:szCs w:val="18"/>
          <w:color w:val="auto"/>
        </w:rPr>
        <w:t>”), and the satisfaction of other customary closing conditions.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15, 2026, the Company and Sanara each received a request for additional information (the “</w:t>
      </w:r>
      <w:r>
        <w:rPr>
          <w:rFonts w:ascii="Times New Roman" w:cs="Times New Roman" w:eastAsia="Times New Roman" w:hAnsi="Times New Roman"/>
          <w:sz w:val="18"/>
          <w:szCs w:val="18"/>
          <w:b w:val="1"/>
          <w:bCs w:val="1"/>
          <w:i w:val="1"/>
          <w:iCs w:val="1"/>
          <w:color w:val="auto"/>
        </w:rPr>
        <w:t>Second Request</w:t>
      </w:r>
      <w:r>
        <w:rPr>
          <w:rFonts w:ascii="Times New Roman" w:cs="Times New Roman" w:eastAsia="Times New Roman" w:hAnsi="Times New Roman"/>
          <w:sz w:val="18"/>
          <w:szCs w:val="18"/>
          <w:color w:val="auto"/>
        </w:rPr>
        <w:t>”) and documentary materials from the Federal Trade Commission (“</w:t>
      </w:r>
      <w:r>
        <w:rPr>
          <w:rFonts w:ascii="Times New Roman" w:cs="Times New Roman" w:eastAsia="Times New Roman" w:hAnsi="Times New Roman"/>
          <w:sz w:val="18"/>
          <w:szCs w:val="18"/>
          <w:b w:val="1"/>
          <w:bCs w:val="1"/>
          <w:i w:val="1"/>
          <w:iCs w:val="1"/>
          <w:color w:val="auto"/>
        </w:rPr>
        <w:t>FTC</w:t>
      </w:r>
      <w:r>
        <w:rPr>
          <w:rFonts w:ascii="Times New Roman" w:cs="Times New Roman" w:eastAsia="Times New Roman" w:hAnsi="Times New Roman"/>
          <w:sz w:val="18"/>
          <w:szCs w:val="18"/>
          <w:color w:val="auto"/>
        </w:rPr>
        <w:t>”) in connection with the FTC’s review of the Acquisition. The effect of the Second Request is to extend the waiting period imposed by HSR until 30 days after the parties have substantially complied with the Second Request, unless that period is extended voluntarily by the parties or terminated earlier by the FTC. Completion of the Acquisition remains subject to the expiration or termination of the waiting period under HSR. The Company continues to work constructively with the FTC in its review of the Acquisition.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terminates if the Acquisition has not been consummated on or before July 29, 2027 (along with any extensions,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the Company or Sanara may extend the End Date to a date not later than January 29, 2028, if certain conditions are met.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 Acquisition had not closed and no acquisition accounting has been reflected in the Company's unaudited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Hayfin Financing Commitment</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Concurrently with the Merger Agreement, the Company obtained a debt financing commitment (the “</w:t>
      </w:r>
      <w:r>
        <w:rPr>
          <w:rFonts w:ascii="Times New Roman" w:cs="Times New Roman" w:eastAsia="Times New Roman" w:hAnsi="Times New Roman"/>
          <w:sz w:val="18"/>
          <w:szCs w:val="18"/>
          <w:b w:val="1"/>
          <w:bCs w:val="1"/>
          <w:i w:val="1"/>
          <w:iCs w:val="1"/>
          <w:color w:val="auto"/>
        </w:rPr>
        <w:t>Hayfin Commitment</w:t>
      </w:r>
      <w:r>
        <w:rPr>
          <w:rFonts w:ascii="Times New Roman" w:cs="Times New Roman" w:eastAsia="Times New Roman" w:hAnsi="Times New Roman"/>
          <w:sz w:val="18"/>
          <w:szCs w:val="18"/>
          <w:color w:val="auto"/>
        </w:rPr>
        <w:t>”) from Hayfin Capital Management LLP (“</w:t>
      </w:r>
      <w:r>
        <w:rPr>
          <w:rFonts w:ascii="Times New Roman" w:cs="Times New Roman" w:eastAsia="Times New Roman" w:hAnsi="Times New Roman"/>
          <w:sz w:val="18"/>
          <w:szCs w:val="18"/>
          <w:b w:val="1"/>
          <w:bCs w:val="1"/>
          <w:i w:val="1"/>
          <w:iCs w:val="1"/>
          <w:color w:val="auto"/>
        </w:rPr>
        <w:t>Hayfin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a six-year, $300.0 million (the “</w:t>
      </w:r>
      <w:r>
        <w:rPr>
          <w:rFonts w:ascii="Times New Roman" w:cs="Times New Roman" w:eastAsia="Times New Roman" w:hAnsi="Times New Roman"/>
          <w:sz w:val="18"/>
          <w:szCs w:val="18"/>
          <w:b w:val="1"/>
          <w:bCs w:val="1"/>
          <w:i w:val="1"/>
          <w:iCs w:val="1"/>
          <w:color w:val="auto"/>
        </w:rPr>
        <w:t>Initial Commitment</w:t>
      </w:r>
      <w:r>
        <w:rPr>
          <w:rFonts w:ascii="Times New Roman" w:cs="Times New Roman" w:eastAsia="Times New Roman" w:hAnsi="Times New Roman"/>
          <w:sz w:val="18"/>
          <w:szCs w:val="18"/>
          <w:color w:val="auto"/>
        </w:rPr>
        <w:t>”) first lien senior secured term loan (the “</w:t>
      </w:r>
      <w:r>
        <w:rPr>
          <w:rFonts w:ascii="Times New Roman" w:cs="Times New Roman" w:eastAsia="Times New Roman" w:hAnsi="Times New Roman"/>
          <w:sz w:val="18"/>
          <w:szCs w:val="18"/>
          <w:b w:val="1"/>
          <w:bCs w:val="1"/>
          <w:i w:val="1"/>
          <w:iCs w:val="1"/>
          <w:color w:val="auto"/>
        </w:rPr>
        <w:t>Hayfin Term Loan</w:t>
      </w:r>
      <w:r>
        <w:rPr>
          <w:rFonts w:ascii="Times New Roman" w:cs="Times New Roman" w:eastAsia="Times New Roman" w:hAnsi="Times New Roman"/>
          <w:sz w:val="18"/>
          <w:szCs w:val="18"/>
          <w:color w:val="auto"/>
        </w:rPr>
        <w:t>”) bearing interest at a Term SOFR plus 6.25% (the “</w:t>
      </w:r>
      <w:r>
        <w:rPr>
          <w:rFonts w:ascii="Times New Roman" w:cs="Times New Roman" w:eastAsia="Times New Roman" w:hAnsi="Times New Roman"/>
          <w:sz w:val="18"/>
          <w:szCs w:val="18"/>
          <w:b w:val="1"/>
          <w:bCs w:val="1"/>
          <w:i w:val="1"/>
          <w:iCs w:val="1"/>
          <w:color w:val="auto"/>
        </w:rPr>
        <w:t>Margin</w:t>
      </w:r>
      <w:r>
        <w:rPr>
          <w:rFonts w:ascii="Times New Roman" w:cs="Times New Roman" w:eastAsia="Times New Roman" w:hAnsi="Times New Roman"/>
          <w:sz w:val="18"/>
          <w:szCs w:val="18"/>
          <w:color w:val="auto"/>
        </w:rPr>
        <w:t>”), the proceeds of which, together with cash on hand, are expected to fund the cash portion of the consideration. The Hayfin Commitment is effective until five days following the End Date, inclusive of any extensions.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jc w:val="both"/>
        <w:spacing w:after="0" w:line="262" w:lineRule="auto"/>
        <w:rPr>
          <w:sz w:val="20"/>
          <w:szCs w:val="20"/>
          <w:color w:val="auto"/>
        </w:rPr>
      </w:pPr>
      <w:r>
        <w:rPr>
          <w:rFonts w:ascii="Times New Roman" w:cs="Times New Roman" w:eastAsia="Times New Roman" w:hAnsi="Times New Roman"/>
          <w:sz w:val="18"/>
          <w:szCs w:val="18"/>
          <w:color w:val="auto"/>
        </w:rPr>
        <w:t>The Hayfin Commitment requires the Company to pay a ticking fee (the “</w:t>
      </w:r>
      <w:r>
        <w:rPr>
          <w:rFonts w:ascii="Times New Roman" w:cs="Times New Roman" w:eastAsia="Times New Roman" w:hAnsi="Times New Roman"/>
          <w:sz w:val="18"/>
          <w:szCs w:val="18"/>
          <w:b w:val="1"/>
          <w:bCs w:val="1"/>
          <w:i w:val="1"/>
          <w:iCs w:val="1"/>
          <w:color w:val="auto"/>
        </w:rPr>
        <w:t>Ticking Fee</w:t>
      </w:r>
      <w:r>
        <w:rPr>
          <w:rFonts w:ascii="Times New Roman" w:cs="Times New Roman" w:eastAsia="Times New Roman" w:hAnsi="Times New Roman"/>
          <w:sz w:val="18"/>
          <w:szCs w:val="18"/>
          <w:color w:val="auto"/>
        </w:rPr>
        <w:t>”) beginning on October 6, 2026 through the earlier of the Termination Date or the Closing Date (as those terms are defined in the Merger Agreement). The Ticking Fee accrues daily at 1.00% per annum beginning in October 2026, and accrues at 50% of the Margin per annum beginning in January 2027, in each case calculated on the balance of the Initial Commitment.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Hayfin Commitment is contingent upon the closing of the Acquisition, at which time the Hayfin Term Loan will be funded. As of September 30, 2026, the Hayfin Commitment had not been funded.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 Share Payments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15, 2024, the Company entered into an Asset Purchase Agreement (the “</w:t>
      </w:r>
      <w:r>
        <w:rPr>
          <w:rFonts w:ascii="Times New Roman" w:cs="Times New Roman" w:eastAsia="Times New Roman" w:hAnsi="Times New Roman"/>
          <w:sz w:val="18"/>
          <w:szCs w:val="18"/>
          <w:b w:val="1"/>
          <w:bCs w:val="1"/>
          <w:i w:val="1"/>
          <w:iCs w:val="1"/>
          <w:color w:val="auto"/>
        </w:rPr>
        <w:t>TELA APA</w:t>
      </w:r>
      <w:r>
        <w:rPr>
          <w:rFonts w:ascii="Times New Roman" w:cs="Times New Roman" w:eastAsia="Times New Roman" w:hAnsi="Times New Roman"/>
          <w:sz w:val="18"/>
          <w:szCs w:val="18"/>
          <w:color w:val="auto"/>
        </w:rPr>
        <w:t>”) with TELA Bio, Inc. (“</w:t>
      </w:r>
      <w:r>
        <w:rPr>
          <w:rFonts w:ascii="Times New Roman" w:cs="Times New Roman" w:eastAsia="Times New Roman" w:hAnsi="Times New Roman"/>
          <w:sz w:val="18"/>
          <w:szCs w:val="18"/>
          <w:b w:val="1"/>
          <w:bCs w:val="1"/>
          <w:i w:val="1"/>
          <w:iCs w:val="1"/>
          <w:color w:val="auto"/>
        </w:rPr>
        <w:t>TELA</w:t>
      </w:r>
      <w:r>
        <w:rPr>
          <w:rFonts w:ascii="Times New Roman" w:cs="Times New Roman" w:eastAsia="Times New Roman" w:hAnsi="Times New Roman"/>
          <w:sz w:val="18"/>
          <w:szCs w:val="18"/>
          <w:color w:val="auto"/>
        </w:rPr>
        <w:t>”) to obtain exclusive rights to sell and market a 510(k)-cleared collagen particulate xenograft product in the United States, which the Company markets as HELIOGEN. Pursuant to the TELA APA, the Company was required to make payments (the “</w:t>
      </w:r>
      <w:r>
        <w:rPr>
          <w:rFonts w:ascii="Times New Roman" w:cs="Times New Roman" w:eastAsia="Times New Roman" w:hAnsi="Times New Roman"/>
          <w:sz w:val="18"/>
          <w:szCs w:val="18"/>
          <w:b w:val="1"/>
          <w:bCs w:val="1"/>
          <w:i w:val="1"/>
          <w:iCs w:val="1"/>
          <w:color w:val="auto"/>
        </w:rPr>
        <w:t>Profit Share Payments</w:t>
      </w:r>
      <w:r>
        <w:rPr>
          <w:rFonts w:ascii="Times New Roman" w:cs="Times New Roman" w:eastAsia="Times New Roman" w:hAnsi="Times New Roman"/>
          <w:sz w:val="18"/>
          <w:szCs w:val="18"/>
          <w:color w:val="auto"/>
        </w:rPr>
        <w:t>”) of between a minimum of $3.0 million and a maximum of $7.0 million based on MIMEDX’s net sales of the product over the two years following its commercialization of the product, which occurred during the second quarter of 2024.</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the Company made its final Profit Share Payment to TELA. As of September 30, 2026, the Company has no further obligation to TELA under the TELA APA.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Regulatory Matters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may be a party to pending and threatened legal, regulatory, and governmental actions and proceedings (including those described below). In view of the inherent difficulty of predicting the outcome of such matters, particularly where the plaintiffs or claimants seek very large or indeterminate damages or where the matters present novel legal theories or involve a large number of parties, the Company generally cannot predict what the eventual outcome of the pending matters will be, what the timing of the ultimate resolution of these matters will be, or what the eventual recovery, loss, fines or penalties related to each pending matter may be. The Company's unaudited condensed consolidated balance sheet as of September 30, 2026 reflects the Company's current best estimate of probable losses associated with these matters, including costs to comply with various settlement agreements, where applicable. For more information regarding the Company’s legal proceedings, refer to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2025 Form 10-K.</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applicable accounting guidance, the Company accrues a liability when those matters present loss contingencies that are both probable and estimable.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certain litigation and regulatory matters to which the Company is a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AXIOFILL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received a Warning Letter from the FDA on December 21, 2023, relating to the inspections and classification of AXIOFILL. The Company received a determination letter in March 2024 reaffirming the FDA’s position that AXIOFILL does not meet the regulatory classification requirements of a Human Cell, Tissue or Cellular or Tissue-based Product under Section 361 of the Public Health Service Act. The Company strongly disagrees with this determination. On March 25, 2024, MIMEDX filed suit in the U.S. District Court for the Northern District of Georgia alleging violations of the Administrative Procedure Act and asking the Court to vacate FDA’s designation, declare FDA’s designation as arbitrary, capricious, an abuse of discretion, and contrary to law, and declare that AXIOFILL meets the criteria to be regulated under Section 361 of the Public Health Services Act.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2026, the Court issued an order vacating the FDA's determinations that AXIOFILL is not a Section 361 HCT/P because it is more than minimally manipulated and that AXIOFILL should be classified as a biological product rather than a medical device, and remanded both matters to the FDA for further consideration consistent with the Court's order. The Company continues to believe that AXIOFILL meets the requirements for classification as a Section 361 HCT/P.</w:t>
      </w:r>
    </w:p>
    <w:p>
      <w:pPr>
        <w:spacing w:after="0" w:line="122"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MIMEDX has two product categories: (1) Surgical, which reflects products principally used in surgical settings, including the closure of acute wounds or to protect and reinforce tissues and/or regions of interest, and (2) Wound, which reflects products typically used in Advanced Wound Care settings, including the treatment of chronic, non-healing wounds. The Company manages its product portfolio and pipeline based upon opportunities in each of these settings.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net sales by product line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24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29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8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Surgical</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102,888</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Wound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197,647</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have significant foreign operations or a single external customer from which 10% or more of net sales were derived during the three or nine months ended September 30, 2026 or 2025.</w:t>
      </w:r>
    </w:p>
    <w:p>
      <w:pPr>
        <w:spacing w:after="0" w:line="10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The Company determines its operating segments based on how the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reviews the business and makes resource allocation decisions. The Company concluded that Joseph Capper, the Company’s Chief Executive Officer, is the CODM.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single operating segment, which has not been aggregated with other operating segments.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several measures of profit or loss to assess Company performance and allocate resources. Of these measures, net income is the measure that most aligns to GAAP. Other measures used by the CODM include adjusted earnings before interest, taxes, depreciation and amortization. The CODM assesses actual results against budgets and forecasts, and uses this information to inform various strategic investments into the Company’s operations, including headcount and compensation.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financial statement caption included on the condensed consolidated statements of operations reflects a significant segment expense evaluated by the CODM. In addition to this, the CODM also evaluates selling and marketing expense and general and administrative expense, both of which are components of selling, general, and administrative expense on the unaudited condensed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selling and marketing and general and administrative expense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80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Pr>
          <w:p>
            <w:pPr>
              <w:spacing w:after="0"/>
              <w:rPr>
                <w:sz w:val="20"/>
                <w:szCs w:val="20"/>
                <w:color w:val="auto"/>
              </w:rPr>
            </w:pPr>
          </w:p>
        </w:tc>
        <w:tc>
          <w:tcPr>
            <w:tcW w:w="33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37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148,448</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44,673</w:t>
            </w: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breakout of interest expense and interest income (amounts in thousands):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0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19"/>
                <w:szCs w:val="19"/>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986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3,407</w:t>
            </w:r>
          </w:p>
        </w:tc>
      </w:tr>
      <w:tr>
        <w:trPr>
          <w:trHeight w:val="230"/>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(210)</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(1,378)</w:t>
            </w: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776</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2,029</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To see depreciation expense, amortization expense, income tax expense, and significant noncash items for this segment please refer to Note 5, </w:t>
      </w:r>
      <w:r>
        <w:rPr>
          <w:rFonts w:ascii="Times New Roman" w:cs="Times New Roman" w:eastAsia="Times New Roman" w:hAnsi="Times New Roman"/>
          <w:sz w:val="18"/>
          <w:szCs w:val="18"/>
          <w:i w:val="1"/>
          <w:iCs w:val="1"/>
          <w:color w:val="auto"/>
        </w:rPr>
        <w:t>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 Net</w:t>
      </w:r>
      <w:r>
        <w:rPr>
          <w:rFonts w:ascii="Times New Roman" w:cs="Times New Roman" w:eastAsia="Times New Roman" w:hAnsi="Times New Roman"/>
          <w:sz w:val="18"/>
          <w:szCs w:val="18"/>
          <w:color w:val="auto"/>
        </w:rPr>
        <w:t>, Note 6,</w:t>
      </w:r>
      <w:r>
        <w:rPr>
          <w:rFonts w:ascii="Times New Roman" w:cs="Times New Roman" w:eastAsia="Times New Roman" w:hAnsi="Times New Roman"/>
          <w:sz w:val="18"/>
          <w:szCs w:val="18"/>
          <w:i w:val="1"/>
          <w:iCs w:val="1"/>
          <w:color w:val="auto"/>
        </w:rPr>
        <w:t xml:space="preserve"> Intangible Assets, Net</w:t>
      </w:r>
      <w:r>
        <w:rPr>
          <w:rFonts w:ascii="Times New Roman" w:cs="Times New Roman" w:eastAsia="Times New Roman" w:hAnsi="Times New Roman"/>
          <w:sz w:val="18"/>
          <w:szCs w:val="18"/>
          <w:color w:val="auto"/>
        </w:rPr>
        <w:t>, Note 10,</w:t>
      </w:r>
      <w:r>
        <w:rPr>
          <w:rFonts w:ascii="Times New Roman" w:cs="Times New Roman" w:eastAsia="Times New Roman" w:hAnsi="Times New Roman"/>
          <w:sz w:val="18"/>
          <w:szCs w:val="18"/>
          <w:i w:val="1"/>
          <w:iCs w:val="1"/>
          <w:color w:val="auto"/>
        </w:rPr>
        <w:t xml:space="preserve"> Income Taxes</w:t>
      </w:r>
      <w:r>
        <w:rPr>
          <w:rFonts w:ascii="Times New Roman" w:cs="Times New Roman" w:eastAsia="Times New Roman" w:hAnsi="Times New Roman"/>
          <w:sz w:val="18"/>
          <w:szCs w:val="18"/>
          <w:color w:val="auto"/>
        </w:rPr>
        <w:t>, Note 11,</w:t>
      </w:r>
      <w:r>
        <w:rPr>
          <w:rFonts w:ascii="Times New Roman" w:cs="Times New Roman" w:eastAsia="Times New Roman" w:hAnsi="Times New Roman"/>
          <w:sz w:val="18"/>
          <w:szCs w:val="18"/>
          <w:i w:val="1"/>
          <w:iCs w:val="1"/>
          <w:color w:val="auto"/>
        </w:rPr>
        <w:t xml:space="preserve"> Supplemental Disclosure of Cash Flow and Non-cash Investing and Financing Activities</w:t>
      </w:r>
      <w:r>
        <w:rPr>
          <w:rFonts w:ascii="Times New Roman" w:cs="Times New Roman" w:eastAsia="Times New Roman" w:hAnsi="Times New Roman"/>
          <w:sz w:val="18"/>
          <w:szCs w:val="18"/>
          <w:color w:val="auto"/>
        </w:rPr>
        <w:t>, respectively.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is not provided and does not review segment assets at a different asset level or category than the presentation on the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Vaporox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8"/>
          <w:szCs w:val="18"/>
          <w:color w:val="auto"/>
        </w:rPr>
        <w:t>Late in the second quarter of 2025, the Company entered into a Convertible Note Purchase Agreement (the “</w:t>
      </w:r>
      <w:r>
        <w:rPr>
          <w:rFonts w:ascii="Times New Roman" w:cs="Times New Roman" w:eastAsia="Times New Roman" w:hAnsi="Times New Roman"/>
          <w:sz w:val="18"/>
          <w:szCs w:val="18"/>
          <w:b w:val="1"/>
          <w:bCs w:val="1"/>
          <w:i w:val="1"/>
          <w:iCs w:val="1"/>
          <w:color w:val="auto"/>
        </w:rPr>
        <w:t>Vaporox Note</w:t>
      </w:r>
      <w:r>
        <w:rPr>
          <w:rFonts w:ascii="Times New Roman" w:cs="Times New Roman" w:eastAsia="Times New Roman" w:hAnsi="Times New Roman"/>
          <w:sz w:val="18"/>
          <w:szCs w:val="18"/>
          <w:color w:val="auto"/>
        </w:rPr>
        <w:t>”) with Vaporox, Inc. (“</w:t>
      </w:r>
      <w:r>
        <w:rPr>
          <w:rFonts w:ascii="Times New Roman" w:cs="Times New Roman" w:eastAsia="Times New Roman" w:hAnsi="Times New Roman"/>
          <w:sz w:val="18"/>
          <w:szCs w:val="18"/>
          <w:b w:val="1"/>
          <w:bCs w:val="1"/>
          <w:i w:val="1"/>
          <w:iCs w:val="1"/>
          <w:color w:val="auto"/>
        </w:rPr>
        <w:t>Vaporox</w:t>
      </w:r>
      <w:r>
        <w:rPr>
          <w:rFonts w:ascii="Times New Roman" w:cs="Times New Roman" w:eastAsia="Times New Roman" w:hAnsi="Times New Roman"/>
          <w:sz w:val="18"/>
          <w:szCs w:val="18"/>
          <w:color w:val="auto"/>
        </w:rPr>
        <w:t>”) for $2.0 million. The note matures in the second quarter of 2028, and contains certain contingent conversion features upon the occurrence of specified events. The Vaporox Note was funded early in the third quarter of 2025.</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to account for the Vaporox Note pursuant to the Fair Value Option guidance prescribed by Accounting Standards Codification (“</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Topic 825. Management chose this optional guidance for ease of calculation. This requires the Company to measure the Fair Value of the Vaporox Note, in its entirety, at each reporting date. As a result of electing the fair value option, direct costs and fees related to the Vaporox Note are expensed as incurred.</w:t>
      </w:r>
    </w:p>
    <w:p>
      <w:pPr>
        <w:spacing w:after="0" w:line="153" w:lineRule="exact"/>
        <w:rPr>
          <w:sz w:val="20"/>
          <w:szCs w:val="20"/>
          <w:color w:val="auto"/>
        </w:rPr>
      </w:pPr>
    </w:p>
    <w:p>
      <w:pPr>
        <w:ind w:right="40"/>
        <w:spacing w:after="0" w:line="443" w:lineRule="auto"/>
        <w:rPr>
          <w:sz w:val="20"/>
          <w:szCs w:val="20"/>
          <w:color w:val="auto"/>
        </w:rPr>
      </w:pPr>
      <w:r>
        <w:rPr>
          <w:rFonts w:ascii="Times New Roman" w:cs="Times New Roman" w:eastAsia="Times New Roman" w:hAnsi="Times New Roman"/>
          <w:sz w:val="18"/>
          <w:szCs w:val="18"/>
          <w:color w:val="auto"/>
        </w:rPr>
        <w:t xml:space="preserve">As of September 30, 2026, the fair value of the note was $2.1 million, and was estimated using relevant valuation techniques and a series of Level 3 inputs. </w:t>
      </w:r>
      <w:r>
        <w:rPr>
          <w:rFonts w:ascii="Times New Roman" w:cs="Times New Roman" w:eastAsia="Times New Roman" w:hAnsi="Times New Roman"/>
          <w:sz w:val="18"/>
          <w:szCs w:val="18"/>
          <w:b w:val="1"/>
          <w:bCs w:val="1"/>
          <w:i w:val="1"/>
          <w:iCs w:val="1"/>
          <w:color w:val="auto"/>
        </w:rPr>
        <w:t>Regen Lab</w:t>
      </w:r>
    </w:p>
    <w:p>
      <w:pPr>
        <w:spacing w:after="0" w:line="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December 2025, MiMedx entered into a Distributorship Agreement (the “</w:t>
      </w:r>
      <w:r>
        <w:rPr>
          <w:rFonts w:ascii="Times New Roman" w:cs="Times New Roman" w:eastAsia="Times New Roman" w:hAnsi="Times New Roman"/>
          <w:sz w:val="18"/>
          <w:szCs w:val="18"/>
          <w:b w:val="1"/>
          <w:bCs w:val="1"/>
          <w:i w:val="1"/>
          <w:iCs w:val="1"/>
          <w:color w:val="auto"/>
        </w:rPr>
        <w:t>Regen Agreement</w:t>
      </w:r>
      <w:r>
        <w:rPr>
          <w:rFonts w:ascii="Times New Roman" w:cs="Times New Roman" w:eastAsia="Times New Roman" w:hAnsi="Times New Roman"/>
          <w:sz w:val="18"/>
          <w:szCs w:val="18"/>
          <w:color w:val="auto"/>
        </w:rPr>
        <w:t>”) with Regen Lab USA LLC (“</w:t>
      </w:r>
      <w:r>
        <w:rPr>
          <w:rFonts w:ascii="Times New Roman" w:cs="Times New Roman" w:eastAsia="Times New Roman" w:hAnsi="Times New Roman"/>
          <w:sz w:val="18"/>
          <w:szCs w:val="18"/>
          <w:b w:val="1"/>
          <w:bCs w:val="1"/>
          <w:i w:val="1"/>
          <w:iCs w:val="1"/>
          <w:color w:val="auto"/>
        </w:rPr>
        <w:t>Regen Lab</w:t>
      </w:r>
      <w:r>
        <w:rPr>
          <w:rFonts w:ascii="Times New Roman" w:cs="Times New Roman" w:eastAsia="Times New Roman" w:hAnsi="Times New Roman"/>
          <w:sz w:val="18"/>
          <w:szCs w:val="18"/>
          <w:color w:val="auto"/>
        </w:rPr>
        <w:t>”), which provides the Company with the exclusive right to distribute their RegenKit®-Wound Gel in the United States.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Regen Agreement was accounted for as an acquisition of assets. All costs of acquisition were allocated to the distributorship agreement and is reflected as a component of intangible assets, net, in the unaudited condensed consolidated balance sheet as of September 30,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satisfaction of the obligation created by the Regen Agreement, the Company paid Regen Lab an up-front payment of $5.0 million during January 2026. In addition, the Company may be required to pay up to an additional $5.0 million in contingent consideration upon achievement of cumulative revenue milestones specified in the Regen Agreement. As of September 30, 2026, no contingent consideration milestones pursuant to the Regen Agreement have been met.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October 2026, the Company announced that it had entered into a patent license agreement (the “</w:t>
      </w:r>
      <w:r>
        <w:rPr>
          <w:rFonts w:ascii="Times New Roman" w:cs="Times New Roman" w:eastAsia="Times New Roman" w:hAnsi="Times New Roman"/>
          <w:sz w:val="18"/>
          <w:szCs w:val="18"/>
          <w:b w:val="1"/>
          <w:bCs w:val="1"/>
          <w:i w:val="1"/>
          <w:iCs w:val="1"/>
          <w:color w:val="auto"/>
        </w:rPr>
        <w:t>Patent License Agreement</w:t>
      </w:r>
      <w:r>
        <w:rPr>
          <w:rFonts w:ascii="Times New Roman" w:cs="Times New Roman" w:eastAsia="Times New Roman" w:hAnsi="Times New Roman"/>
          <w:sz w:val="18"/>
          <w:szCs w:val="18"/>
          <w:color w:val="auto"/>
        </w:rPr>
        <w:t>”) with a competitor Wound Care company (the “</w:t>
      </w:r>
      <w:r>
        <w:rPr>
          <w:rFonts w:ascii="Times New Roman" w:cs="Times New Roman" w:eastAsia="Times New Roman" w:hAnsi="Times New Roman"/>
          <w:sz w:val="18"/>
          <w:szCs w:val="18"/>
          <w:b w:val="1"/>
          <w:bCs w:val="1"/>
          <w:i w:val="1"/>
          <w:iCs w:val="1"/>
          <w:color w:val="auto"/>
        </w:rPr>
        <w:t>Licensee</w:t>
      </w:r>
      <w:r>
        <w:rPr>
          <w:rFonts w:ascii="Times New Roman" w:cs="Times New Roman" w:eastAsia="Times New Roman" w:hAnsi="Times New Roman"/>
          <w:sz w:val="18"/>
          <w:szCs w:val="18"/>
          <w:color w:val="auto"/>
        </w:rPr>
        <w:t>”). The Patent License Agreement resolves patent infringement allegations against the Licensee involving MiMedx’s intellectual property, to which the Licensee did not admit fault or liability.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Licensee will pay MiMedx a total of $25.0 million in five equal, annual installments of $5.0 million,. The first installment was paid during the fourth quarter of 2026 and the remaining installments are due on the first four anniversary dates of the Patent License Agreement. The Patent License Agreement provides the Licensee with an indefinite, non-exclusive license to use certain of the Company’s patents.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ind w:right="382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Executive Summary</w:t>
      </w: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2026, our performance reflected the execution of our strategic priorities against evolving market dynamics for our Surgical and Wound franchises, which experienced broadly lower procedure volume and reimbursement reform, respectively. The results also demonstrated our ability to operate effectively as a leaner organization, as our cost reduction initiatives implemented earlier in the year resulted in a meaningfully improved financial profile compared to the second quarter of 2026. Finally, during the period, we announced that we have entered into a definitive agreement to acquire Sanara MedTech Inc. (“</w:t>
      </w:r>
      <w:r>
        <w:rPr>
          <w:rFonts w:ascii="Times New Roman" w:cs="Times New Roman" w:eastAsia="Times New Roman" w:hAnsi="Times New Roman"/>
          <w:sz w:val="18"/>
          <w:szCs w:val="18"/>
          <w:b w:val="1"/>
          <w:bCs w:val="1"/>
          <w:i w:val="1"/>
          <w:iCs w:val="1"/>
          <w:color w:val="auto"/>
        </w:rPr>
        <w:t>Sanara</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$62 million, a decrease of 45% compared to the prior year period.</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Surgical franchise, which accounted for 64% of our net sales, delivered 9% growth in the quarter. Surgical growth was driven by continued adoption of AMNIOFIX®, AMNIOEFFECT®, and our particulate portfolio, as well as contributions from G4Derm® Plus.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Wound franchise, which accounted for 36% of our net sales, meanwhile saw a 71% decline compared to the prior year period, due principally to the market disruptions driven by Medicare reimbursement changes implemented in 2026.</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80% during the quarter, representing an improvement of 11 percentage points compared to gross margin of 69% during the second quarter of 2026. The sequential improvement was primarily driven by improved production throughput, operational efficiencies, and the favorable impact of cost reduction initiatives implemented earlier in the year.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a GAAP net loss of $9 million or $0.06 per diluted share, and ended the quarter with $121 million of net cash, an increase of $2 million compared to the second quarter of 2026.</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advance our cost reduction initiative through lower personnel costs, reduced discretionary spending, and operational efficiencies across the business, resulting in a significantly improved cost structure.</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29, 2026, we entered into a definitive agreement to acquire Sanara MedTech Inc. (“</w:t>
      </w:r>
      <w:r>
        <w:rPr>
          <w:rFonts w:ascii="Times New Roman" w:cs="Times New Roman" w:eastAsia="Times New Roman" w:hAnsi="Times New Roman"/>
          <w:sz w:val="18"/>
          <w:szCs w:val="18"/>
          <w:b w:val="1"/>
          <w:bCs w:val="1"/>
          <w:i w:val="1"/>
          <w:iCs w:val="1"/>
          <w:color w:val="auto"/>
        </w:rPr>
        <w:t>Sanara</w:t>
      </w:r>
      <w:r>
        <w:rPr>
          <w:rFonts w:ascii="Times New Roman" w:cs="Times New Roman" w:eastAsia="Times New Roman" w:hAnsi="Times New Roman"/>
          <w:sz w:val="18"/>
          <w:szCs w:val="18"/>
          <w:color w:val="auto"/>
        </w:rPr>
        <w:t>”) in a cash and stock transaction with an enterprise value of approximately $350 million. The transaction is expected to expand our Surgical product portfolio and remains subject to the expiration or termination of the waiting period under the HSR Act and the satisfaction of customary closing conditions. On October 15, 2026, we and Sanara each received a Second Request from the FTC, which will extend the HSR waiting period.</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2026, we announced that the U.S. District Court for the Northern District of Georgia issued a favorable ruling in the Company’s litigation challenging the United States Food &amp; Drug Administration’s (“</w:t>
      </w:r>
      <w:r>
        <w:rPr>
          <w:rFonts w:ascii="Times New Roman" w:cs="Times New Roman" w:eastAsia="Times New Roman" w:hAnsi="Times New Roman"/>
          <w:sz w:val="18"/>
          <w:szCs w:val="18"/>
          <w:b w:val="1"/>
          <w:bCs w:val="1"/>
          <w:i w:val="1"/>
          <w:iCs w:val="1"/>
          <w:color w:val="auto"/>
        </w:rPr>
        <w:t>FDA’s</w:t>
      </w:r>
      <w:r>
        <w:rPr>
          <w:rFonts w:ascii="Times New Roman" w:cs="Times New Roman" w:eastAsia="Times New Roman" w:hAnsi="Times New Roman"/>
          <w:sz w:val="18"/>
          <w:szCs w:val="18"/>
          <w:color w:val="auto"/>
        </w:rPr>
        <w:t>”) regulatory classification of AXIOFILL, the Company’s human placental-derived extracellular matrix particulate product.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MIMEDX is a pioneer and leader focused on helping humans heal with over a decade and a half of experience developing and commercializing products used in the treatment of a wide range of Surgical and Wound management applications. All of our products sold in the United States are regulated by the FDA. We apply Current Good Tissue Practices (“</w:t>
      </w:r>
      <w:r>
        <w:rPr>
          <w:rFonts w:ascii="Times New Roman" w:cs="Times New Roman" w:eastAsia="Times New Roman" w:hAnsi="Times New Roman"/>
          <w:sz w:val="18"/>
          <w:szCs w:val="18"/>
          <w:b w:val="1"/>
          <w:bCs w:val="1"/>
          <w:i w:val="1"/>
          <w:iCs w:val="1"/>
          <w:color w:val="auto"/>
        </w:rPr>
        <w:t>CGTP</w:t>
      </w:r>
      <w:r>
        <w:rPr>
          <w:rFonts w:ascii="Times New Roman" w:cs="Times New Roman" w:eastAsia="Times New Roman" w:hAnsi="Times New Roman"/>
          <w:sz w:val="18"/>
          <w:szCs w:val="18"/>
          <w:color w:val="auto"/>
        </w:rPr>
        <w:t>”) and other applicable quality standards in addition to terminal sterilization to produce our allografts.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which presents our results for the three and nine months ended September 30, 2026 and 2025, should be read in conjunction with the unaudited condensed consolidated financial statements and accompanying notes included in this Form 10-Q and the financial statements and accompanying notes and Management’s Discussion and Analysis of Financial Condition and Results of Operations included in our Annual Report on Form 10-K for the fiscal year ended December 31, 2025 filed with the SEC on February 25, 2026 (the “</w:t>
      </w:r>
      <w:r>
        <w:rPr>
          <w:rFonts w:ascii="Times New Roman" w:cs="Times New Roman" w:eastAsia="Times New Roman" w:hAnsi="Times New Roman"/>
          <w:sz w:val="18"/>
          <w:szCs w:val="18"/>
          <w:b w:val="1"/>
          <w:bCs w:val="1"/>
          <w:i w:val="1"/>
          <w:iCs w:val="1"/>
          <w:color w:val="auto"/>
        </w:rPr>
        <w:t>2025 Form 10-K</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the Three Months Ended September 30, 2025</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tbl>
      <w:tblPr>
        <w:tblLayout w:type="fixed"/>
        <w:tblInd w:w="8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580" w:type="dxa"/>
            <w:vAlign w:val="bottom"/>
          </w:tcPr>
          <w:p>
            <w:pPr>
              <w:spacing w:after="0"/>
              <w:rPr>
                <w:sz w:val="19"/>
                <w:szCs w:val="19"/>
                <w:color w:val="auto"/>
              </w:rPr>
            </w:pPr>
          </w:p>
        </w:tc>
      </w:tr>
      <w:tr>
        <w:trPr>
          <w:trHeight w:val="234"/>
        </w:trPr>
        <w:tc>
          <w:tcPr>
            <w:tcW w:w="4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thousands)</w:t>
            </w:r>
          </w:p>
        </w:tc>
        <w:tc>
          <w:tcPr>
            <w:tcW w:w="158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(51,442)</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noted as “nm” in the table above indicate that the percentage change is not meaningful.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were $62.3 million for the three months ended September 30, 2026, representing a decrease of $51.4 million, or 45.2%, compared to $113.7 million for the three months ended September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by product category were as follows (amounts in thousands):</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6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0" w:type="dxa"/>
            <w:vAlign w:val="bottom"/>
          </w:tcPr>
          <w:p>
            <w:pPr>
              <w:spacing w:after="0"/>
              <w:rPr>
                <w:sz w:val="20"/>
                <w:szCs w:val="20"/>
                <w:color w:val="auto"/>
              </w:rPr>
            </w:pP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tcPr>
          <w:p>
            <w:pPr>
              <w:spacing w:after="0"/>
              <w:rPr>
                <w:sz w:val="20"/>
                <w:szCs w:val="20"/>
                <w:color w:val="auto"/>
              </w:rPr>
            </w:pPr>
          </w:p>
        </w:tc>
      </w:tr>
      <w:tr>
        <w:trPr>
          <w:trHeight w:val="223"/>
        </w:trPr>
        <w:tc>
          <w:tcPr>
            <w:tcW w:w="356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Surgical</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0"/>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Wound</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48"/>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113,725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Surgical net sales were $40.0 million for the three months ended September 30, 2026, representing an increase of $3.3 million, or 9.1%, compared to $36.6 million for the three months ended September 30, 2025. This increase was primarily driven by continued growth in our AMNIOFIX and AMNIOEFFECT sheet products as well as our particulate portfolio, including HELIOGEN and complemented by contributions from our recently launched G4Derm Plus product.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Wound net sales were $22.3 million for the three months ended September 30, 2026, representing a decrease of $54.8 million or 71.0%, compared to $77.1 million for the three months ended September 30, 2025. This decrease was primarily driven by the continued impact of Medicare reimbursement changes effective January 1, 2026, which adversely affected both pricing and sales volumes for these products.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Profit Margin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was $12.6 million for the three months ended September 30, 2026, representing a decrease of $6.1 million, or 32.8% compared to $18.7 million for the three months ended September 30, 2025. This decrease was primarily driven by lower Wound sales volume and lower production costs, partially offset by unfavorable sales mix.</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was 79.8% for the three months ended September 30, 2026, compared to 83.5% for the three months ended September 30, 2025. This decline was primarily driven by lower pricing in the Wound business following the Medicare reimbursement changes and unfavorable sales mix. These impacts were partially offset by lower production costs resulting from our cost reduction initiative and improved production throughput.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Selling, general and administrative (“</w:t>
      </w:r>
      <w:r>
        <w:rPr>
          <w:rFonts w:ascii="Times New Roman" w:cs="Times New Roman" w:eastAsia="Times New Roman" w:hAnsi="Times New Roman"/>
          <w:sz w:val="18"/>
          <w:szCs w:val="18"/>
          <w:b w:val="1"/>
          <w:bCs w:val="1"/>
          <w:i w:val="1"/>
          <w:iCs w:val="1"/>
          <w:color w:val="auto"/>
        </w:rPr>
        <w:t>SG&amp;A</w:t>
      </w:r>
      <w:r>
        <w:rPr>
          <w:rFonts w:ascii="Times New Roman" w:cs="Times New Roman" w:eastAsia="Times New Roman" w:hAnsi="Times New Roman"/>
          <w:sz w:val="18"/>
          <w:szCs w:val="18"/>
          <w:color w:val="auto"/>
        </w:rPr>
        <w:t>”) expense was $58.3 million for the three months ended September 30, 2026, compared to $69.0 million for the three months ended September 30, 2025. The following table shows the composition of this expense between selling and marketing (“</w:t>
      </w:r>
      <w:r>
        <w:rPr>
          <w:rFonts w:ascii="Times New Roman" w:cs="Times New Roman" w:eastAsia="Times New Roman" w:hAnsi="Times New Roman"/>
          <w:sz w:val="18"/>
          <w:szCs w:val="18"/>
          <w:b w:val="1"/>
          <w:bCs w:val="1"/>
          <w:i w:val="1"/>
          <w:iCs w:val="1"/>
          <w:color w:val="auto"/>
        </w:rPr>
        <w:t>S&amp;M</w:t>
      </w:r>
      <w:r>
        <w:rPr>
          <w:rFonts w:ascii="Times New Roman" w:cs="Times New Roman" w:eastAsia="Times New Roman" w:hAnsi="Times New Roman"/>
          <w:sz w:val="18"/>
          <w:szCs w:val="18"/>
          <w:color w:val="auto"/>
        </w:rPr>
        <w:t>”) and general and administrative (“</w:t>
      </w:r>
      <w:r>
        <w:rPr>
          <w:rFonts w:ascii="Times New Roman" w:cs="Times New Roman" w:eastAsia="Times New Roman" w:hAnsi="Times New Roman"/>
          <w:sz w:val="18"/>
          <w:szCs w:val="18"/>
          <w:b w:val="1"/>
          <w:bCs w:val="1"/>
          <w:i w:val="1"/>
          <w:iCs w:val="1"/>
          <w:color w:val="auto"/>
        </w:rPr>
        <w:t>G&amp;A</w:t>
      </w:r>
      <w:r>
        <w:rPr>
          <w:rFonts w:ascii="Times New Roman" w:cs="Times New Roman" w:eastAsia="Times New Roman" w:hAnsi="Times New Roman"/>
          <w:sz w:val="18"/>
          <w:szCs w:val="18"/>
          <w:color w:val="auto"/>
        </w:rPr>
        <w:t>”) components (amounts in thousands):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52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980" w:type="dxa"/>
            <w:vAlign w:val="bottom"/>
          </w:tcPr>
          <w:p>
            <w:pPr>
              <w:spacing w:after="0"/>
              <w:rPr>
                <w:sz w:val="20"/>
                <w:szCs w:val="20"/>
                <w:color w:val="auto"/>
              </w:rPr>
            </w:pPr>
          </w:p>
        </w:tc>
        <w:tc>
          <w:tcPr>
            <w:tcW w:w="14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tcPr>
          <w:p>
            <w:pPr>
              <w:spacing w:after="0"/>
              <w:rPr>
                <w:sz w:val="20"/>
                <w:szCs w:val="20"/>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$14.1 million or 26.3%, year over year, primarily driven by lower personnel, travel, and meeting expense resulting from our cost reduction initiative and lower commission expense driven by reduced sales.</w:t>
      </w:r>
    </w:p>
    <w:p>
      <w:pPr>
        <w:spacing w:after="0" w:line="9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expenses increased $3.4 million or 22.4% year over year. The increase was driven by $6 million of incremental legal expenses associated with our ongoing litigation matters and strategic expenses, including other transaction costs incurred pursuant to our contemplated acquisition of Sanara. These were partially offset by decreases in personnel costs resulting from our cost reduction initiative.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w:t>
      </w: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color w:val="auto"/>
        </w:rPr>
        <w:t>”) expense was $2.8 million for the three months ended September 30, 2026, representing a decrease of $0.9 million, or 24.5%, compared to $3.7 million for the three months ended September 30, 2025. This decrease was primarily driven by lower personnel costs resulting from our cost reduction initiative. Clinical trial costs were comparable year over year, as costs associated with the CHORIOFIX™ randomized controlled trial (</w:t>
      </w:r>
      <w:r>
        <w:rPr>
          <w:rFonts w:ascii="Times New Roman" w:cs="Times New Roman" w:eastAsia="Times New Roman" w:hAnsi="Times New Roman"/>
          <w:sz w:val="18"/>
          <w:szCs w:val="18"/>
          <w:b w:val="1"/>
          <w:bCs w:val="1"/>
          <w:i w:val="1"/>
          <w:iCs w:val="1"/>
          <w:color w:val="auto"/>
        </w:rPr>
        <w:t>“RCT</w:t>
      </w:r>
      <w:r>
        <w:rPr>
          <w:rFonts w:ascii="Times New Roman" w:cs="Times New Roman" w:eastAsia="Times New Roman" w:hAnsi="Times New Roman"/>
          <w:sz w:val="18"/>
          <w:szCs w:val="18"/>
          <w:color w:val="auto"/>
        </w:rPr>
        <w:t>”) were offset by lower costs following the completion of the EPIEFFECT® RCT.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net was $0.8 million for the three months ended September 30, 2026, consistent with the three months ended September 30, 2025. Lower interest expense resulting from reduced outstanding debt and lower interest rates on borrowings was largely offset by lower interest income driven by reduced average cash balances and lower yields on the Company’s interest-bearing accounts.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(Provision)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rates for the Company were 22% and 27% for the three months ended September 30, 2026 and September 30, 2025, respectively.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that we generated pre-tax loss for the three months ended September 30, 2026, meaning that decreases in our effective tax rate would be unfavorable for that period. Conversely, we generated pre-tax income for the three months ended September 30, 2025, meaning that decreases in our effective tax rate would be favorable for that period.</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months ended September 30, 2026 and September 30, 2025 were unfavorably impacted by certain deduction limitations. Additionally, the effective tax rate for the three months ended September 30, 2026 was unfavorably impacted by merger costs related to our pending acquisition of Sanara.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the Nine Months Ended September 30,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4"/>
        </w:trPr>
        <w:tc>
          <w:tcPr>
            <w:tcW w:w="4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400" w:type="dxa"/>
            <w:vAlign w:val="bottom"/>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300,535</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(114,899)</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400" w:type="dxa"/>
            <w:vAlign w:val="bottom"/>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00" w:type="dxa"/>
            <w:vAlign w:val="bottom"/>
          </w:tcPr>
          <w:p>
            <w:pPr>
              <w:spacing w:after="0"/>
              <w:rPr>
                <w:sz w:val="19"/>
                <w:szCs w:val="19"/>
                <w:color w:val="auto"/>
              </w:rPr>
            </w:pPr>
          </w:p>
        </w:tc>
      </w:tr>
      <w:tr>
        <w:trPr>
          <w:trHeight w:val="878"/>
        </w:trPr>
        <w:tc>
          <w:tcPr>
            <w:tcW w:w="4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7"/>
        </w:trPr>
        <w:tc>
          <w:tcPr>
            <w:tcW w:w="4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Changes noted as “nm” in the table above indicate that the percentage change is not meaningful.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were $185.6 million for the nine months ended September 30, 2026, representing a decrease of $114.9 million, or 38.2%, compared to $300.5 million for the nine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by product category were as follows (amounts in thousands):</w:t>
      </w:r>
    </w:p>
    <w:p>
      <w:pPr>
        <w:spacing w:after="0" w:line="23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60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940" w:type="dxa"/>
            <w:vAlign w:val="bottom"/>
          </w:tcPr>
          <w:p>
            <w:pPr>
              <w:spacing w:after="0"/>
              <w:rPr>
                <w:sz w:val="20"/>
                <w:szCs w:val="20"/>
                <w:color w:val="auto"/>
              </w:rPr>
            </w:pP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Surgical</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115,631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102,888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30"/>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Wound</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197,647</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(127,642)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48"/>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185,636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300,535</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Surgical net sales were $115.6 million for the nine months ended September 30, 2026, representing an increase of $12.7 million, or 12.4%, compared to the nine months ended September 30, 2025. This increase was primarily driven by continued growth in our AMNIOFIX and AMNIOEFFECT sheet products as well as our particulate portfolio, including HELIOGEN and complemented by contributions from G4Derm Plus.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Wound net sales were $70.0 million for the nine months ended September 30, 2026, representing a decrease of $127.6 million or 64.6%, compared to the nine months ended September 30, 2025. This decrease was primarily driven by the continued impact of Medicare reimbursement changes which adversely affected both pricing and sales volumes for these products.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Profit Margin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was $49.9 million for the nine months ended September 30, 2026, representing a decrease of $4.0 million, or 7.5%, compared to $54.0 million for the nine months ended September 30, 2025. This decrease was primarily driven by lower Wound sales volume and lower production costs, partially offset by unfavorable sales mix and one-time expenses related to our cost reduction initiative incurred during the second quarter of 2026.</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margin was 73.1% for the nine months ended September 30, 2026 compared to 82.0% for the nine months ended September 30, 2025. This decline was primarily driven by lower pricing in the Wound business following the Medicare reimbursement changes, unfavorable sales mix, and a one-time cost reduction initiative expense. These impacts were partially offset by lower production costs resulting from our cost reduction initiative and improved production throughput.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$171.3 million for the nine months ended September 30, 2026, compared to $193.1 million for the nine months ended September 30, 2025. The following table shows the composition of this expense between selling and marketing (“</w:t>
      </w:r>
      <w:r>
        <w:rPr>
          <w:rFonts w:ascii="Times New Roman" w:cs="Times New Roman" w:eastAsia="Times New Roman" w:hAnsi="Times New Roman"/>
          <w:sz w:val="18"/>
          <w:szCs w:val="18"/>
          <w:b w:val="1"/>
          <w:bCs w:val="1"/>
          <w:i w:val="1"/>
          <w:iCs w:val="1"/>
          <w:color w:val="auto"/>
        </w:rPr>
        <w:t>S&amp;M</w:t>
      </w:r>
      <w:r>
        <w:rPr>
          <w:rFonts w:ascii="Times New Roman" w:cs="Times New Roman" w:eastAsia="Times New Roman" w:hAnsi="Times New Roman"/>
          <w:sz w:val="18"/>
          <w:szCs w:val="18"/>
          <w:color w:val="auto"/>
        </w:rPr>
        <w:t>”) and general and administrative (“</w:t>
      </w:r>
      <w:r>
        <w:rPr>
          <w:rFonts w:ascii="Times New Roman" w:cs="Times New Roman" w:eastAsia="Times New Roman" w:hAnsi="Times New Roman"/>
          <w:sz w:val="18"/>
          <w:szCs w:val="18"/>
          <w:b w:val="1"/>
          <w:bCs w:val="1"/>
          <w:i w:val="1"/>
          <w:iCs w:val="1"/>
          <w:color w:val="auto"/>
        </w:rPr>
        <w:t>G&amp;A</w:t>
      </w:r>
      <w:r>
        <w:rPr>
          <w:rFonts w:ascii="Times New Roman" w:cs="Times New Roman" w:eastAsia="Times New Roman" w:hAnsi="Times New Roman"/>
          <w:sz w:val="18"/>
          <w:szCs w:val="18"/>
          <w:color w:val="auto"/>
        </w:rPr>
        <w:t>”) components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Change</w:t>
            </w:r>
          </w:p>
        </w:tc>
        <w:tc>
          <w:tcPr>
            <w:tcW w:w="1420" w:type="dxa"/>
            <w:vAlign w:val="bottom"/>
            <w:tcBorders>
              <w:bottom w:val="single" w:sz="8" w:color="auto"/>
            </w:tcBorders>
          </w:tcPr>
          <w:p>
            <w:pPr>
              <w:spacing w:after="0"/>
              <w:rPr>
                <w:sz w:val="20"/>
                <w:szCs w:val="20"/>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148,448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193,121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$18.5 million or 12.5%, year over year, primarily driven by lower personnel, travel, and meeting expense resulting from our recent cost reduction initiative as well as lower commission expense driven by reduced sales. These decreases were partially offset by bad debt expense associated with the credit deterioration of certain legacy customers, as well as one-time expenses related to our cost reduction initiative incurred during the second quarter of 2026.</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$3.3 million or 7.3%, year over year, primarily due to the reversal of stock-based compensation expense associated with unvested performance stock unit awards and lower personnel costs resulting from our cost reduction initiative. These savings were partially offset by increased legal expense associated with ongoing legal matters and costs incurred pursuant to our contemplated acquisition of Sanara MedTech Inc (“</w:t>
      </w:r>
      <w:r>
        <w:rPr>
          <w:rFonts w:ascii="Times New Roman" w:cs="Times New Roman" w:eastAsia="Times New Roman" w:hAnsi="Times New Roman"/>
          <w:sz w:val="18"/>
          <w:szCs w:val="18"/>
          <w:b w:val="1"/>
          <w:bCs w:val="1"/>
          <w:i w:val="1"/>
          <w:iCs w:val="1"/>
          <w:color w:val="auto"/>
        </w:rPr>
        <w:t>Sanara</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Research and development (“</w:t>
      </w: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color w:val="auto"/>
        </w:rPr>
        <w:t>”) expense was $9.7 million for the nine months ended September 30, 2026, compared to $10.3 million for the nine months ended September 30, 2025. This decrease was primarily driven by lower personnel costs associated with our recent cost reduction initiative, partially offset by costs associated with increased enrollment for our EPIEFFECT and CHORIOFIX randomized controlled trials.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net was $2.4 million for the nine months ended September 30, 2026 compared to interest income, net of $2.0 million for the nine months ended September 30, 2025, an increase of 0.4 million, or 20.7%. The increase was driven by higher average cash balances maintained in the Company’s interest-bearing accounts, a reduction in outstanding debt, and lower interest rates on outstanding borrowings.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(Provision)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rates for the Company were 22% and 25% for the nine months ended September 30, 2026 and 2025, respectively.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that we generated pre-tax loss for the nine months ended September 30, 2026, meaning that decreases in our effective tax rate would be unfavorable for that period. Conversely, we generated pre-tax income for the nine months ended September 30, 2025, meaning that decreases in our effective tax rate would be favorable for that period.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2026 was unfavorably impacted by certain deduction limitations as well as lower stock-based compensation deductions for tax as well as merger costs related to our pending acquisition of Sanara.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2025 was favorably impacted by greater stock-based compensation deductions for tax. This favorability was offset by certain deduction limitations.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was $4.2 million during the nine months ended September 30, 2026, representing a decrease of $53.3 million, compared to cash provided by operating activities of $49.0 million for the nine months ended September 30, 2025. This decrease was primarily attributable to lower cash collections associated with reduced sales, higher annual incentive compensation payments made during the first quarter of 2026, and cost reduction initiative-related severance payments made during the second quarter of 2026. These impacts were partially offset by lower operating expenditures resulting from the Company’s ongoing cost reduction initiative and lower commission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Cash used for investing activities was $6.5 million during the nine months ended September 30, 2026, compared to $6.6 million for the nine months ended September 30, 2025. Cash used during the 2026 period primarily consisted of a $5.0 million payment associated with the acquisition of exclusive distribution rights for RegenKit®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Wound Gel.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for financing activities was $34.6 million during the nine months ended September 30, 2026, compared to $4.8 million for the nine months ended September 30, 2025. This increase was primarily attributable to the repayment of our term loan under the Citizens Credit Agreement and repurchases of common stock under the Company’s Share Repurchase Plan.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require capital for our operating activities, including costs associated with the sale of product through direct and indirect sales channels, research and development activities, compliance costs, costs to sell and market our products, regulatory fees, and legal and consulting fees in connection with ongoing litigation and other matters. We generally fund our operating capital requirements through our operating activities and cash reserves. We expect to use capital to invest in the broadening of our product portfolio, including through potential acquisitions, licensing agreements or other arrangements, the international expansion of our business and certain capital projects. In addition, we will require approximately $303 million of cash to</w:t>
      </w:r>
    </w:p>
    <w:p>
      <w:pPr>
        <w:spacing w:after="0" w:line="3" w:lineRule="exact"/>
        <w:rPr>
          <w:sz w:val="20"/>
          <w:szCs w:val="20"/>
          <w:color w:val="auto"/>
        </w:rPr>
      </w:pPr>
    </w:p>
    <w:p>
      <w:pPr>
        <w:ind w:right="2660"/>
        <w:spacing w:after="0" w:line="253" w:lineRule="auto"/>
        <w:rPr>
          <w:sz w:val="20"/>
          <w:szCs w:val="20"/>
          <w:color w:val="auto"/>
        </w:rPr>
      </w:pPr>
      <w:r>
        <w:rPr>
          <w:rFonts w:ascii="Times New Roman" w:cs="Times New Roman" w:eastAsia="Times New Roman" w:hAnsi="Times New Roman"/>
          <w:sz w:val="18"/>
          <w:szCs w:val="18"/>
          <w:color w:val="auto"/>
        </w:rPr>
        <w:t>fund the cash portion of the consideration payable in the Acquisition, which we expect to fund with the proceeds of the $300.0 million Hayfin Term Loan and cash on hand, as well as cash to pay transaction-related costs, the Ticking Fee under the Hayfin Commitment and, under specified circumstances, a $22.5 million termination fee payable to Sanara. Accordingly, following the closing of the Acquisition, our debt service requirements will increase materially.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we had $120.8 million of cash and cash equivalents, total current assets of $187.2 million and total current liabilities of $43.0 million. We had no long term debt outstanding and $75.0 million of availability under our Revolving Credit Facility, subject to the terms of the covenant waiver described below.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paying its obligations in the ordinary course of business. We believe that our cash from operating activities, existing cash and cash equivalents, and available credit under the Citizens Credit Agreement, as defined below, will enable us to meet our operational liquidity needs for the twelve months following the filing date of this Quarterly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Citizens Credit Agreement</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January 19, 2024, the Company entered into a Credit Agreement (the “</w:t>
      </w:r>
      <w:r>
        <w:rPr>
          <w:rFonts w:ascii="Times New Roman" w:cs="Times New Roman" w:eastAsia="Times New Roman" w:hAnsi="Times New Roman"/>
          <w:sz w:val="18"/>
          <w:szCs w:val="18"/>
          <w:b w:val="1"/>
          <w:bCs w:val="1"/>
          <w:i w:val="1"/>
          <w:iCs w:val="1"/>
          <w:color w:val="auto"/>
        </w:rPr>
        <w:t>Citizens Credit Agreement</w:t>
      </w:r>
      <w:r>
        <w:rPr>
          <w:rFonts w:ascii="Times New Roman" w:cs="Times New Roman" w:eastAsia="Times New Roman" w:hAnsi="Times New Roman"/>
          <w:sz w:val="18"/>
          <w:szCs w:val="18"/>
          <w:color w:val="auto"/>
        </w:rPr>
        <w:t>”) with Citizens Bank, N.A. and Bank of America, N.A. (collectively,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which provided the Company with a $75.0 million Revolving Credit Facility and $20.0 million Term Loan Facility.</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we repaid the remaining principal balance of $17.3 million on the Term Loan Facility, and have no further obligations with respect to that borrowing.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Citizens Credit Agreement requires that we comply with certain financial covenants, including a maximum total net leverage ratio and a minimum consolidated fixed charge coverage ratio, as well as other customary restrictive covenants.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we were not in compliance with the financial covenants pursuant to the Citizens Credit Agreement, constituting an Event of Default (as defined). We agreed with the Lenders to waive the default until such time that the Company regains compliance with the financial covenants.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no remaining principal outstanding on the Term Loan Facility and no borrowings outstanding under the Revolving Credit Facility. In connection with the execution and delivery of definitive documentation with respect to the Hayfin Term Loan once funded in connection with the closing of the Acquisition (each as defined below), we expect that the Citizens Credit Agreement will be terminated and any amounts outstanding will be repaid in full.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February 2026, our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authorized us to periodically repurchase up to $100.0 million of our outstanding common stock (the “</w:t>
      </w:r>
      <w:r>
        <w:rPr>
          <w:rFonts w:ascii="Times New Roman" w:cs="Times New Roman" w:eastAsia="Times New Roman" w:hAnsi="Times New Roman"/>
          <w:sz w:val="18"/>
          <w:szCs w:val="18"/>
          <w:b w:val="1"/>
          <w:bCs w:val="1"/>
          <w:i w:val="1"/>
          <w:iCs w:val="1"/>
          <w:color w:val="auto"/>
        </w:rPr>
        <w:t>Share Repurchase Plan</w:t>
      </w:r>
      <w:r>
        <w:rPr>
          <w:rFonts w:ascii="Times New Roman" w:cs="Times New Roman" w:eastAsia="Times New Roman" w:hAnsi="Times New Roman"/>
          <w:sz w:val="18"/>
          <w:szCs w:val="18"/>
          <w:color w:val="auto"/>
        </w:rPr>
        <w:t>”) through February 2028. The timing and amount of repurchases, if any, will depend on a number of factors, including capital requirements for inorganic business development, market conditions, our financial condition, operating results, and other business considerations. Notwithstanding the Share Repurchase Plan, management’s focus remains on executing on our strategic initiatives, including inorganic growth investments. The Share Repurchase Plan does not obligate us to repurchase any shares.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3.5 million shares on the open market for $12.7 million. Pursuant to the terms of the Share Repurchase Plan, we have $87.3 million of authorized purchase capacity as of September 30,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and Debt Financing Commitment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19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July 29, 2026, we entered into a definitive agreement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Sanara MedTech Inc. (“</w:t>
      </w:r>
      <w:r>
        <w:rPr>
          <w:rFonts w:ascii="Times New Roman" w:cs="Times New Roman" w:eastAsia="Times New Roman" w:hAnsi="Times New Roman"/>
          <w:sz w:val="18"/>
          <w:szCs w:val="18"/>
          <w:b w:val="1"/>
          <w:bCs w:val="1"/>
          <w:i w:val="1"/>
          <w:iCs w:val="1"/>
          <w:color w:val="auto"/>
        </w:rPr>
        <w:t>Sanara</w:t>
      </w:r>
      <w:r>
        <w:rPr>
          <w:rFonts w:ascii="Times New Roman" w:cs="Times New Roman" w:eastAsia="Times New Roman" w:hAnsi="Times New Roman"/>
          <w:sz w:val="18"/>
          <w:szCs w:val="18"/>
          <w:color w:val="auto"/>
        </w:rPr>
        <w:t>”) to acquire all outstanding shares of Sanara (the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in a cash and stock transaction that values Sanara at $35.00 per share, reflecting an enterprise value of approximately $350 million. Under the terms of the agreement, each outstanding share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Sanara common stock will be converted into the right to receive $33.00 in cash and 0.4735 shares of our common stock, representing aggregate consideration of approximately $303 million in cash and approximately 4.4 million shares of our common stock, subject to applicable adjustments.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both parties. Under specified circumstances, Sanara would be required to pay us a termination fee of $9.7 million, and, under other specified circumstances, we would be required to pay Sanara a termination fee of $22.5 million.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Consummation of the Acquisition remains subject to expiration or termination of the applicable waiting period under the Hart-Scott-Rodino Antitrust Improvements Act (“</w:t>
      </w:r>
      <w:r>
        <w:rPr>
          <w:rFonts w:ascii="Times New Roman" w:cs="Times New Roman" w:eastAsia="Times New Roman" w:hAnsi="Times New Roman"/>
          <w:sz w:val="18"/>
          <w:szCs w:val="18"/>
          <w:b w:val="1"/>
          <w:bCs w:val="1"/>
          <w:i w:val="1"/>
          <w:iCs w:val="1"/>
          <w:color w:val="auto"/>
        </w:rPr>
        <w:t>HSR</w:t>
      </w:r>
      <w:r>
        <w:rPr>
          <w:rFonts w:ascii="Times New Roman" w:cs="Times New Roman" w:eastAsia="Times New Roman" w:hAnsi="Times New Roman"/>
          <w:sz w:val="18"/>
          <w:szCs w:val="18"/>
          <w:color w:val="auto"/>
        </w:rPr>
        <w:t>”), and the satisfaction of other customary closing conditions.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15, 2026, we and Sanara each received a request for additional information (the “</w:t>
      </w:r>
      <w:r>
        <w:rPr>
          <w:rFonts w:ascii="Times New Roman" w:cs="Times New Roman" w:eastAsia="Times New Roman" w:hAnsi="Times New Roman"/>
          <w:sz w:val="18"/>
          <w:szCs w:val="18"/>
          <w:b w:val="1"/>
          <w:bCs w:val="1"/>
          <w:i w:val="1"/>
          <w:iCs w:val="1"/>
          <w:color w:val="auto"/>
        </w:rPr>
        <w:t>Second Request</w:t>
      </w:r>
      <w:r>
        <w:rPr>
          <w:rFonts w:ascii="Times New Roman" w:cs="Times New Roman" w:eastAsia="Times New Roman" w:hAnsi="Times New Roman"/>
          <w:sz w:val="18"/>
          <w:szCs w:val="18"/>
          <w:color w:val="auto"/>
        </w:rPr>
        <w:t>”) and documentary materials from the Federal Trade Commission (“</w:t>
      </w:r>
      <w:r>
        <w:rPr>
          <w:rFonts w:ascii="Times New Roman" w:cs="Times New Roman" w:eastAsia="Times New Roman" w:hAnsi="Times New Roman"/>
          <w:sz w:val="18"/>
          <w:szCs w:val="18"/>
          <w:b w:val="1"/>
          <w:bCs w:val="1"/>
          <w:i w:val="1"/>
          <w:iCs w:val="1"/>
          <w:color w:val="auto"/>
        </w:rPr>
        <w:t>FTC</w:t>
      </w:r>
      <w:r>
        <w:rPr>
          <w:rFonts w:ascii="Times New Roman" w:cs="Times New Roman" w:eastAsia="Times New Roman" w:hAnsi="Times New Roman"/>
          <w:sz w:val="18"/>
          <w:szCs w:val="18"/>
          <w:color w:val="auto"/>
        </w:rPr>
        <w:t>”) in connection with the FTC’s review of the Acquisition. The effect of the Second Request is to extend the waiting period imposed by HSR until 30 days after the parties have substantially complied with the Second Request, unless that period is extended voluntarily by the parties or terminated earlier by the FTC. Completion of the Acquisition remains subject to the expiration or termination of the waiting period under HSR. We continue to work constructively with the FTC in its review of the Merger.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terminates if the Acquisition has not been consummated on or before July 29, 2027 (along with any extensions,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we or Sanara may extend the End Date to a date not later than January 29, 2028, if certain conditions are met.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Acquisition had not closed.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Hayfin Financing Commitment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Concurrently with the Merger Agreement, we obtained a debt financing commitment (the “</w:t>
      </w:r>
      <w:r>
        <w:rPr>
          <w:rFonts w:ascii="Times New Roman" w:cs="Times New Roman" w:eastAsia="Times New Roman" w:hAnsi="Times New Roman"/>
          <w:sz w:val="18"/>
          <w:szCs w:val="18"/>
          <w:b w:val="1"/>
          <w:bCs w:val="1"/>
          <w:i w:val="1"/>
          <w:iCs w:val="1"/>
          <w:color w:val="auto"/>
        </w:rPr>
        <w:t>Hayfin Commitment</w:t>
      </w:r>
      <w:r>
        <w:rPr>
          <w:rFonts w:ascii="Times New Roman" w:cs="Times New Roman" w:eastAsia="Times New Roman" w:hAnsi="Times New Roman"/>
          <w:sz w:val="18"/>
          <w:szCs w:val="18"/>
          <w:color w:val="auto"/>
        </w:rPr>
        <w:t>”) from Hayfin Capital Management LLP (“</w:t>
      </w:r>
      <w:r>
        <w:rPr>
          <w:rFonts w:ascii="Times New Roman" w:cs="Times New Roman" w:eastAsia="Times New Roman" w:hAnsi="Times New Roman"/>
          <w:sz w:val="18"/>
          <w:szCs w:val="18"/>
          <w:b w:val="1"/>
          <w:bCs w:val="1"/>
          <w:i w:val="1"/>
          <w:iCs w:val="1"/>
          <w:color w:val="auto"/>
        </w:rPr>
        <w:t>Hayfin</w:t>
      </w:r>
      <w:r>
        <w:rPr>
          <w:rFonts w:ascii="Times New Roman" w:cs="Times New Roman" w:eastAsia="Times New Roman" w:hAnsi="Times New Roman"/>
          <w:sz w:val="18"/>
          <w:szCs w:val="18"/>
          <w:color w:val="auto"/>
        </w:rPr>
        <w:t>”) for a six-year, $300.0 million (the “</w:t>
      </w:r>
      <w:r>
        <w:rPr>
          <w:rFonts w:ascii="Times New Roman" w:cs="Times New Roman" w:eastAsia="Times New Roman" w:hAnsi="Times New Roman"/>
          <w:sz w:val="18"/>
          <w:szCs w:val="18"/>
          <w:b w:val="1"/>
          <w:bCs w:val="1"/>
          <w:i w:val="1"/>
          <w:iCs w:val="1"/>
          <w:color w:val="auto"/>
        </w:rPr>
        <w:t>Initial Commitment</w:t>
      </w:r>
      <w:r>
        <w:rPr>
          <w:rFonts w:ascii="Times New Roman" w:cs="Times New Roman" w:eastAsia="Times New Roman" w:hAnsi="Times New Roman"/>
          <w:sz w:val="18"/>
          <w:szCs w:val="18"/>
          <w:color w:val="auto"/>
        </w:rPr>
        <w:t>”) first lien senior secured term loan (the “</w:t>
      </w:r>
      <w:r>
        <w:rPr>
          <w:rFonts w:ascii="Times New Roman" w:cs="Times New Roman" w:eastAsia="Times New Roman" w:hAnsi="Times New Roman"/>
          <w:sz w:val="18"/>
          <w:szCs w:val="18"/>
          <w:b w:val="1"/>
          <w:bCs w:val="1"/>
          <w:i w:val="1"/>
          <w:iCs w:val="1"/>
          <w:color w:val="auto"/>
        </w:rPr>
        <w:t>Hayfin Term Loan</w:t>
      </w:r>
      <w:r>
        <w:rPr>
          <w:rFonts w:ascii="Times New Roman" w:cs="Times New Roman" w:eastAsia="Times New Roman" w:hAnsi="Times New Roman"/>
          <w:sz w:val="18"/>
          <w:szCs w:val="18"/>
          <w:color w:val="auto"/>
        </w:rPr>
        <w:t>”) bearing interest at a Term SOFR plus 6.25%, the proceeds of which, together with cash on hand, are expected to fund the cash portion of the consideration. The Hayfin Commitment is contingent upon the closing of the Acquisition, at which time the Hayfin Term Loan will be funded. However, the Hayfin Commitment is effective until five days following the End Date, inclusive of any extensions.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Hayfin Commitment requires us to pay a ticking fee (the “</w:t>
      </w:r>
      <w:r>
        <w:rPr>
          <w:rFonts w:ascii="Times New Roman" w:cs="Times New Roman" w:eastAsia="Times New Roman" w:hAnsi="Times New Roman"/>
          <w:sz w:val="18"/>
          <w:szCs w:val="18"/>
          <w:b w:val="1"/>
          <w:bCs w:val="1"/>
          <w:i w:val="1"/>
          <w:iCs w:val="1"/>
          <w:color w:val="auto"/>
        </w:rPr>
        <w:t>Ticking Fee</w:t>
      </w:r>
      <w:r>
        <w:rPr>
          <w:rFonts w:ascii="Times New Roman" w:cs="Times New Roman" w:eastAsia="Times New Roman" w:hAnsi="Times New Roman"/>
          <w:sz w:val="18"/>
          <w:szCs w:val="18"/>
          <w:color w:val="auto"/>
        </w:rPr>
        <w:t>”) beginning in October 2026 through the earlier of the Termination Date or the Closing Date (as those terms are defined in the Merger Agreement). The Ticking Fee accrues daily at 1.00% per annum beginning in October 2026, and accrues at 50% of the Margin per annum beginning in January 2027, in each case calculated on the balance of the Initial Commitment.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Hayfin Commitment had not been funded.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Other than the pending Acquisition, the debt financing commitment and related Ticking Fee obligations described above under </w:t>
      </w:r>
      <w:r>
        <w:rPr>
          <w:rFonts w:ascii="Times New Roman" w:cs="Times New Roman" w:eastAsia="Times New Roman" w:hAnsi="Times New Roman"/>
          <w:sz w:val="18"/>
          <w:szCs w:val="18"/>
          <w:i w:val="1"/>
          <w:iCs w:val="1"/>
          <w:color w:val="auto"/>
        </w:rPr>
        <w:t>“Merger Agreement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Financing Commitment” </w:t>
      </w:r>
      <w:r>
        <w:rPr>
          <w:rFonts w:ascii="Times New Roman" w:cs="Times New Roman" w:eastAsia="Times New Roman" w:hAnsi="Times New Roman"/>
          <w:sz w:val="18"/>
          <w:szCs w:val="18"/>
          <w:color w:val="auto"/>
        </w:rPr>
        <w:t>and the repayment of the Term Loan Facility under the Citizens Credit Agreement, there were no significant changes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obligations during the nine months ended September 30, 2026 from those disclosed in the section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from Operations</w:t>
      </w:r>
      <w:r>
        <w:rPr>
          <w:rFonts w:ascii="Times New Roman" w:cs="Times New Roman" w:eastAsia="Times New Roman" w:hAnsi="Times New Roman"/>
          <w:sz w:val="18"/>
          <w:szCs w:val="18"/>
          <w:color w:val="auto"/>
        </w:rPr>
        <w:t>”, in the 2025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financial statements, we follow accounting principles generally accepted in the United States, which require us to make certain estimates and apply judgments that affect our financial position and results of operations. We regularly review our accounting policies and financial information disclosures. A summary of critical accounting estimates in preparing the financial statements was provided in our 2025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those Critical Accounting Estimates identified in our 2025 Form 10-K, we have identified the following critical accounting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We present our trade accounts receivable net of our current expectation for credit losses. Allowance for credit losses is estimated periodically and changes to the allowance for credit losses are recognized as expense in the period of change.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expectations for credit losses are evaluated based on relevant, available information as of each reporting date. This information includes, among other information:</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aging of outstanding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collection patterns from various classes of customers,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Customer-specific indications of deteriorated credit quality, such as bankruptcies, collections, or similar events.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Write-offs of associated receivables cause us to reduce the allowance and only impact the consolidated statement of operations in the period in which it occurs to the extent that the receivable was not fully reserved at the time of write-off. Other revisions to the reserve, which reflect changes in our expectations in credit losses, are accounted for prospectively as credit loss expense or reversal.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of the Estimate to Change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reserved $14.1 million for credit losses against a gross accounts receivable balance of $51.4 million as of September 30, 2026. Subsequent deviations in customer collection patterns relative to historical norms, as well as significant, customer-specific changes in facts and circumstances could cause us to materially revise our allowance for credit losses. Such changes will result in the reflection of credit loss expense or reversal in the period such changes are identified.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the effect of recent accounting pronouncements,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to the unaudited condensed consolidated financial statements contained herein.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risks associated with changes in interest rates that could adversely affect our results of operations and financial condition. We do not hedge against interest rate risk.</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“Item 7A. Quantitative and Qualitative Disclosures about Market Risk” in the 2025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and 15d-15(e) of the Securities Exchange Act of 1934, as amended, or the Exchange Act) as of the end of the period covered by this report. Based on that evaluation, our Chief Executive Officer and Chief Financial Officer concluded that our disclosure controls and procedures as of the end of the period covered by this report were effective at a reasonable assurance level in ensuring that information required to be disclosed by us in reports that we file or submit under the Exchange Act (i) is recorded, processed, summarized and reported within the time periods specified in the SEC’s rules and forms and (ii) accumulated and communicated to management, including our Chief Executive Officer and Chief Financial Officer, as appropriate, to allow timely discussions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and 15d-15(f) of the Exchange Act) that occurred during the fiscal quarter ended September 30, 2026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parties to numerous claims and lawsuits arising in the ordinary course of its business activities, some of which involve claims for substantial amounts. The ultimate outcome of these suits cannot be ascertained at this time. For a description of material legal and regulatory proceedings, including the Company’s litigation challenging the FDA’s regulatory classification of AXIOFILL, see Note 12,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 — Litigation and Regulatory Matters</w:t>
      </w:r>
      <w:r>
        <w:rPr>
          <w:rFonts w:ascii="Times New Roman" w:cs="Times New Roman" w:eastAsia="Times New Roman" w:hAnsi="Times New Roman"/>
          <w:sz w:val="18"/>
          <w:szCs w:val="18"/>
          <w:color w:val="auto"/>
        </w:rPr>
        <w:t>”, to the unaudited condensed consolidated financial statements included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which is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substantial risk of loss. You should carefully consider the risks described below, together with the other information contained in this Quarterly Report on Form 10-Q and the risk factors previously disclosed in Part I, Item 1A, “Risk Factors,” of our Annual Report on Form 10-K for the year ended December 31, 2025. Except as set forth below, there have been no material changes to the risk factors previously disclosed in our Annual Report on Form 10-K for the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Sanara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may be delayed or not completed.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completion of our pending acquisition of Sanara is subject to a number of conditions, including the expiration or termination of the applicable waiting period under the HSR Act, and other closing conditions set forth in the Merger Agreement.</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October 15, 2026, we and Sanara each received a request for additional information and documentary materials (a “</w:t>
      </w:r>
      <w:r>
        <w:rPr>
          <w:rFonts w:ascii="Times New Roman" w:cs="Times New Roman" w:eastAsia="Times New Roman" w:hAnsi="Times New Roman"/>
          <w:sz w:val="18"/>
          <w:szCs w:val="18"/>
          <w:b w:val="1"/>
          <w:bCs w:val="1"/>
          <w:i w:val="1"/>
          <w:iCs w:val="1"/>
          <w:color w:val="auto"/>
        </w:rPr>
        <w:t>Second Request</w:t>
      </w:r>
      <w:r>
        <w:rPr>
          <w:rFonts w:ascii="Times New Roman" w:cs="Times New Roman" w:eastAsia="Times New Roman" w:hAnsi="Times New Roman"/>
          <w:sz w:val="18"/>
          <w:szCs w:val="18"/>
          <w:color w:val="auto"/>
        </w:rPr>
        <w:t>”) from the FTC in connection with the FTC’s review of the Acquisition. The effect of the Second Request is to extend the waiting period under the HSR Act until 30 days after we have substantially complied with the Second Request, unless that period is extended voluntarily by the parties or terminated earlier by the FTC or the agency otherwise decides to close its review without substantial compliance and grant early termination.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Request may delay completion of the Acquisition and require us to devote significant time and resources to the regulatory review process. There can be no assurance as to the timing or outcome of the FTC’s review. The FTC could seek to prevent the Acquisition or impose conditions, limitations or restrictions in connection with the Acquisition that could delay completion of the Acquisition, impose additional costs, reduce the anticipated benefits of the Acquisition or cause the Acquisition not to be completed.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Acquisition is delayed or not completed, we may incur significant expenses without realizing the anticipated benefits of the Acquisition. Failure to complete the Acquisition could also adversely affect our relationships with employees, customers and other business partners and could adversely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the financing necessary to complete the Acquisition.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fund a portion of the cash consideration payable in the Acquisition with proceeds from debt financing contemplated by the Hayfin Commitment. The completion of the Acquisition is not conditioned on our receipt of such financing. If the contemplated debt financing is not available when required, we may be required to obtain alternative financing, which may not be available on acceptable terms or at all and may be more costly or otherwise less favorable than the contemplated financing.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obtain the contemplated financing is subject to the satisfaction of the conditions set forth in the applicable Hayfin Commitment. If we are unable to obtain sufficient financing when required, the Acquisition could be delayed or may not be completed, and under certain circumstances we may be required to pay a termination fee. In addition, alternative financing arrangements could impose additional costs or restrictions on us that could adversely affect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indebtedness we expect to incur in connection with the Acquisition may adversely affect our financial health.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jc w:val="both"/>
        <w:spacing w:after="0" w:line="263" w:lineRule="auto"/>
        <w:rPr>
          <w:sz w:val="20"/>
          <w:szCs w:val="20"/>
          <w:color w:val="auto"/>
        </w:rPr>
      </w:pPr>
      <w:r>
        <w:rPr>
          <w:rFonts w:ascii="Times New Roman" w:cs="Times New Roman" w:eastAsia="Times New Roman" w:hAnsi="Times New Roman"/>
          <w:sz w:val="18"/>
          <w:szCs w:val="18"/>
          <w:color w:val="auto"/>
        </w:rPr>
        <w:t>We expect to incur significant additional indebtedness in connection with the Acquisition in the form of the Hayfin Term Loan. This additional indebtedness could increase our debt service obligations, reduce the amount of cash available for working capital, capital expenditures, acquisitions and other general corporate purposes, limit our ability to obtain additional financing and increase our vulnerability to adverse economic and industry conditions.</w:t>
      </w: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definitive financing documentation is also expected to contain operating and financial restrictions and covenants that may limit our ability to incur additional indebtedness, make investments, pay dividends or make other restricted payments, dispose of assets or engage in other transactions. Our failure to comply with such covenants could result in an event of default and permit the lenders to accelerate amounts outstanding and exercise other remedies. Any of these consequences could adversely affect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pending Acquisition may disrupt our business and divert management’s attention.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pendency of the Acquisition could result in uncertainty among our employees, customers and other business partners and could adversely affect our ability to retain key employees and maintain business relationships.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management and other employees are devoting significant time and resources to matters relating to the Acquisition, including the FTC’s review and responding to the Second Request. These activities could divert management’s attention and other resources from our existing business and other strategic opportunities. The Merger Agreement also restricts certain actions we may take while the Acquisition is pending, which could prevent us from pursuing certain business opportunities or taking other actions that we might otherwise consider beneficial. Any of these matters could adversely affect our business, results of operations and financial condition, regardless of whether the Acquisition is completed.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integrate Sanara or realize the anticipated benefits of the Acquisition.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the Acquisition will depend, in part, on our ability to successfully integrate Sanara and realize the anticipated benefits of the Acquisition. The integration of Sanara may be more difficult, costly or time-consuming than anticipated, and we may be unable to successfully integrate, operate, maintain and manage the acquired operations. We may also be unable to realize the anticipated benefits of the Acquisition, including anticipated revenues, cost savings or synergies.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integration process could result in the loss of key employees, disruption of our existing business or that of Sanara, disruption of business relationships and diversion of management’s attention and resources. We have also incurred, and expect to continue to incur, significant transaction, financing, regulatory and integration-related costs in connection with the Acquisition, many of which will be incurred regardless of whether the Acquisition is completed. If we are unable to successfully integrate Sanara or realize the anticipated benefits of the Acquisition, our business, results of operations and financial condition could be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jc w:val="center"/>
        <w:ind w:right="8899"/>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ind w:left="300"/>
        <w:spacing w:after="0"/>
        <w:tabs>
          <w:tab w:leader="none" w:pos="132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32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8"/>
          <w:szCs w:val="18"/>
          <w:u w:val="single" w:color="auto"/>
          <w:color w:val="0000FF"/>
        </w:rPr>
        <w:t xml:space="preserve">Certification of Chief Executive Officer </w:t>
      </w:r>
      <w:r>
        <w:rPr>
          <w:rFonts w:ascii="Times New Roman" w:cs="Times New Roman" w:eastAsia="Times New Roman" w:hAnsi="Times New Roman"/>
          <w:sz w:val="18"/>
          <w:szCs w:val="18"/>
          <w:color w:val="000000"/>
        </w:rPr>
        <w:t>pursuant to Section 302 of the Sarbanes-Oxley Act of 2002.</w:t>
      </w:r>
    </w:p>
    <w:p>
      <w:pPr>
        <w:spacing w:after="0" w:line="27" w:lineRule="exact"/>
        <w:rPr>
          <w:sz w:val="20"/>
          <w:szCs w:val="20"/>
          <w:color w:val="auto"/>
        </w:rPr>
      </w:pPr>
    </w:p>
    <w:p>
      <w:pPr>
        <w:ind w:left="400"/>
        <w:spacing w:after="0"/>
        <w:tabs>
          <w:tab w:leader="none" w:pos="132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7"/>
          <w:szCs w:val="17"/>
          <w:u w:val="single" w:color="auto"/>
          <w:color w:val="0000FF"/>
        </w:rPr>
        <w:t xml:space="preserve">Certification of Chief Financial Officer </w:t>
      </w:r>
      <w:r>
        <w:rPr>
          <w:rFonts w:ascii="Times New Roman" w:cs="Times New Roman" w:eastAsia="Times New Roman" w:hAnsi="Times New Roman"/>
          <w:sz w:val="17"/>
          <w:szCs w:val="17"/>
          <w:color w:val="000000"/>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00"/>
        <w:spacing w:after="0"/>
        <w:tabs>
          <w:tab w:leader="none" w:pos="132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u w:val="single" w:color="auto"/>
          <w:color w:val="0000FF"/>
        </w:rPr>
        <w:t xml:space="preserve">Certification of Chief Executive Officer </w:t>
      </w:r>
      <w:r>
        <w:rPr>
          <w:rFonts w:ascii="Times New Roman" w:cs="Times New Roman" w:eastAsia="Times New Roman" w:hAnsi="Times New Roman"/>
          <w:sz w:val="18"/>
          <w:szCs w:val="18"/>
          <w:color w:val="000000"/>
        </w:rPr>
        <w:t>pursuant to Section 906 of the Sarbanes-Oxley Act of 2002.</w:t>
      </w:r>
    </w:p>
    <w:p>
      <w:pPr>
        <w:spacing w:after="0" w:line="23" w:lineRule="exact"/>
        <w:rPr>
          <w:sz w:val="20"/>
          <w:szCs w:val="20"/>
          <w:color w:val="auto"/>
        </w:rPr>
      </w:pPr>
    </w:p>
    <w:p>
      <w:pPr>
        <w:ind w:left="400"/>
        <w:spacing w:after="0"/>
        <w:tabs>
          <w:tab w:leader="none" w:pos="1320" w:val="left"/>
        </w:tabs>
        <w:rPr>
          <w:sz w:val="20"/>
          <w:szCs w:val="20"/>
          <w:color w:val="auto"/>
        </w:rPr>
      </w:pPr>
      <w:r>
        <w:rPr>
          <w:rFonts w:ascii="Times New Roman" w:cs="Times New Roman" w:eastAsia="Times New Roman" w:hAnsi="Times New Roman"/>
          <w:sz w:val="18"/>
          <w:szCs w:val="18"/>
          <w:color w:val="auto"/>
        </w:rPr>
        <w:t>32.2 #</w:t>
      </w:r>
      <w:r>
        <w:rPr>
          <w:sz w:val="20"/>
          <w:szCs w:val="20"/>
          <w:color w:val="auto"/>
        </w:rPr>
        <w:tab/>
      </w:r>
      <w:r>
        <w:rPr>
          <w:rFonts w:ascii="Times New Roman" w:cs="Times New Roman" w:eastAsia="Times New Roman" w:hAnsi="Times New Roman"/>
          <w:sz w:val="17"/>
          <w:szCs w:val="17"/>
          <w:u w:val="single" w:color="auto"/>
          <w:color w:val="0000FF"/>
        </w:rPr>
        <w:t xml:space="preserve">Certification of Chief Financial Officer </w:t>
      </w:r>
      <w:r>
        <w:rPr>
          <w:rFonts w:ascii="Times New Roman" w:cs="Times New Roman" w:eastAsia="Times New Roman" w:hAnsi="Times New Roman"/>
          <w:sz w:val="17"/>
          <w:szCs w:val="17"/>
          <w:color w:val="000000"/>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tabs>
          <w:tab w:leader="none" w:pos="1320" w:val="left"/>
        </w:tabs>
        <w:rPr>
          <w:sz w:val="20"/>
          <w:szCs w:val="20"/>
          <w:color w:val="auto"/>
        </w:rPr>
      </w:pPr>
      <w:r>
        <w:rPr>
          <w:rFonts w:ascii="Times New Roman" w:cs="Times New Roman" w:eastAsia="Times New Roman" w:hAnsi="Times New Roman"/>
          <w:sz w:val="18"/>
          <w:szCs w:val="18"/>
          <w:color w:val="auto"/>
        </w:rPr>
        <w:t>101.INS #</w:t>
      </w:r>
      <w:r>
        <w:rPr>
          <w:sz w:val="20"/>
          <w:szCs w:val="20"/>
          <w:color w:val="auto"/>
        </w:rPr>
        <w:tab/>
      </w:r>
      <w:r>
        <w:rPr>
          <w:rFonts w:ascii="Times New Roman" w:cs="Times New Roman" w:eastAsia="Times New Roman" w:hAnsi="Times New Roman"/>
          <w:sz w:val="17"/>
          <w:szCs w:val="17"/>
          <w:color w:val="auto"/>
        </w:rPr>
        <w:t>XBRL Instance Document</w:t>
      </w:r>
    </w:p>
    <w:p>
      <w:pPr>
        <w:spacing w:after="0" w:line="23"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18"/>
          <w:szCs w:val="18"/>
          <w:color w:val="auto"/>
        </w:rPr>
        <w:t>101.SCH #</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18"/>
          <w:szCs w:val="18"/>
          <w:color w:val="auto"/>
        </w:rPr>
        <w:t>101.CAL #</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23"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18"/>
          <w:szCs w:val="18"/>
          <w:color w:val="auto"/>
        </w:rPr>
        <w:t>101.DEF #</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1320" w:val="left"/>
        </w:tabs>
        <w:rPr>
          <w:sz w:val="20"/>
          <w:szCs w:val="20"/>
          <w:color w:val="auto"/>
        </w:rPr>
      </w:pPr>
      <w:r>
        <w:rPr>
          <w:rFonts w:ascii="Times New Roman" w:cs="Times New Roman" w:eastAsia="Times New Roman" w:hAnsi="Times New Roman"/>
          <w:sz w:val="18"/>
          <w:szCs w:val="18"/>
          <w:color w:val="auto"/>
        </w:rPr>
        <w:t>101.LAB #</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23" w:lineRule="exact"/>
        <w:rPr>
          <w:sz w:val="20"/>
          <w:szCs w:val="20"/>
          <w:color w:val="auto"/>
        </w:rPr>
      </w:pPr>
    </w:p>
    <w:p>
      <w:pPr>
        <w:ind w:left="240"/>
        <w:spacing w:after="0"/>
        <w:tabs>
          <w:tab w:leader="none" w:pos="1320" w:val="left"/>
        </w:tabs>
        <w:rPr>
          <w:sz w:val="20"/>
          <w:szCs w:val="20"/>
          <w:color w:val="auto"/>
        </w:rPr>
      </w:pPr>
      <w:r>
        <w:rPr>
          <w:rFonts w:ascii="Times New Roman" w:cs="Times New Roman" w:eastAsia="Times New Roman" w:hAnsi="Times New Roman"/>
          <w:sz w:val="18"/>
          <w:szCs w:val="18"/>
          <w:color w:val="auto"/>
        </w:rPr>
        <w:t>101.PRE #</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32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7171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0" w:hanging="554"/>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29" w:name="page30"/>
    <w:bookmarkEnd w:id="29"/>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MIMEDX GROUP, INC.</w:t>
      </w:r>
    </w:p>
    <w:p>
      <w:pPr>
        <w:spacing w:after="0" w:line="77" w:lineRule="exact"/>
        <w:rPr>
          <w:sz w:val="20"/>
          <w:szCs w:val="20"/>
          <w:color w:val="auto"/>
        </w:rPr>
      </w:pPr>
    </w:p>
    <w:p>
      <w:pPr>
        <w:ind w:left="552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Doug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Doug Rice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60"/>
          </w:cols>
          <w:pgMar w:left="320" w:top="1049" w:right="11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H. Capper, certify that:</w:t>
      </w:r>
    </w:p>
    <w:p>
      <w:pPr>
        <w:spacing w:after="0" w:line="374" w:lineRule="exact"/>
        <w:rPr>
          <w:sz w:val="20"/>
          <w:szCs w:val="20"/>
          <w:color w:val="auto"/>
        </w:rPr>
      </w:pPr>
    </w:p>
    <w:p>
      <w:pPr>
        <w:ind w:left="680" w:hanging="186"/>
        <w:spacing w:after="0"/>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MiMedx Group, Inc. (the “Report”);</w:t>
      </w:r>
    </w:p>
    <w:p>
      <w:pPr>
        <w:spacing w:after="0" w:line="171" w:lineRule="exact"/>
        <w:rPr>
          <w:rFonts w:ascii="Times New Roman" w:cs="Times New Roman" w:eastAsia="Times New Roman" w:hAnsi="Times New Roman"/>
          <w:sz w:val="18"/>
          <w:szCs w:val="18"/>
          <w:color w:val="auto"/>
        </w:rPr>
      </w:pPr>
    </w:p>
    <w:p>
      <w:pPr>
        <w:ind w:right="20" w:firstLine="494"/>
        <w:spacing w:after="0" w:line="360" w:lineRule="auto"/>
        <w:tabs>
          <w:tab w:leader="none" w:pos="6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firstLine="494"/>
        <w:spacing w:after="0" w:line="376" w:lineRule="auto"/>
        <w:tabs>
          <w:tab w:leader="none" w:pos="66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firstLine="494"/>
        <w:spacing w:after="0" w:line="352" w:lineRule="auto"/>
        <w:tabs>
          <w:tab w:leader="none" w:pos="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8"/>
          <w:szCs w:val="18"/>
          <w:color w:val="auto"/>
        </w:rPr>
      </w:pPr>
    </w:p>
    <w:p>
      <w:pPr>
        <w:jc w:val="both"/>
        <w:ind w:left="980"/>
        <w:spacing w:after="0" w:line="352" w:lineRule="auto"/>
        <w:tabs>
          <w:tab w:leader="none" w:pos="127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980"/>
        <w:spacing w:after="0" w:line="352" w:lineRule="auto"/>
        <w:tabs>
          <w:tab w:leader="none" w:pos="124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980" w:right="20"/>
        <w:spacing w:after="0" w:line="376" w:lineRule="auto"/>
        <w:tabs>
          <w:tab w:leader="none" w:pos="1237"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spacing w:after="0" w:line="352" w:lineRule="auto"/>
        <w:tabs>
          <w:tab w:leader="none" w:pos="124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firstLine="453"/>
        <w:spacing w:after="0" w:line="360" w:lineRule="auto"/>
        <w:tabs>
          <w:tab w:leader="none" w:pos="6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spacing w:after="0" w:line="376" w:lineRule="auto"/>
        <w:tabs>
          <w:tab w:leader="none" w:pos="1252"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spacing w:after="0" w:line="360" w:lineRule="auto"/>
        <w:tabs>
          <w:tab w:leader="none" w:pos="12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7" w:right="339" w:bottom="1440" w:gutter="0" w:footer="0" w:header="0"/>
        </w:sectPr>
      </w:pPr>
    </w:p>
    <w:bookmarkStart w:id="31" w:name="page32"/>
    <w:bookmarkEnd w:id="31"/>
    <w:p>
      <w:pPr>
        <w:spacing w:after="0"/>
        <w:tabs>
          <w:tab w:leader="none" w:pos="780" w:val="left"/>
          <w:tab w:leader="none" w:pos="5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Joseph H. Capper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17145</wp:posOffset>
            </wp:positionV>
            <wp:extent cx="27000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Joseph H. Capper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0119"/>
          </w:cols>
          <w:pgMar w:left="340" w:top="1255"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 Rice, certify that:</w:t>
      </w:r>
    </w:p>
    <w:p>
      <w:pPr>
        <w:spacing w:after="0" w:line="320" w:lineRule="exact"/>
        <w:rPr>
          <w:sz w:val="20"/>
          <w:szCs w:val="20"/>
          <w:color w:val="auto"/>
        </w:rPr>
      </w:pPr>
    </w:p>
    <w:p>
      <w:pPr>
        <w:ind w:left="600" w:hanging="187"/>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MiMedx Group, Inc. (the “Report”);</w:t>
      </w:r>
    </w:p>
    <w:p>
      <w:pPr>
        <w:spacing w:after="0" w:line="171" w:lineRule="exact"/>
        <w:rPr>
          <w:rFonts w:ascii="Times New Roman" w:cs="Times New Roman" w:eastAsia="Times New Roman" w:hAnsi="Times New Roman"/>
          <w:sz w:val="18"/>
          <w:szCs w:val="18"/>
          <w:color w:val="auto"/>
        </w:rPr>
      </w:pPr>
    </w:p>
    <w:p>
      <w:pPr>
        <w:ind w:right="20" w:firstLine="413"/>
        <w:spacing w:after="0" w:line="376" w:lineRule="auto"/>
        <w:tabs>
          <w:tab w:leader="none" w:pos="5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firstLine="413"/>
        <w:spacing w:after="0" w:line="360" w:lineRule="auto"/>
        <w:tabs>
          <w:tab w:leader="none" w:pos="5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413"/>
        <w:spacing w:after="0" w:line="344" w:lineRule="auto"/>
        <w:tabs>
          <w:tab w:leader="none" w:pos="6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980"/>
        <w:spacing w:after="0" w:line="352" w:lineRule="auto"/>
        <w:tabs>
          <w:tab w:leader="none" w:pos="1275"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980"/>
        <w:spacing w:after="0" w:line="352" w:lineRule="auto"/>
        <w:tabs>
          <w:tab w:leader="none" w:pos="124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980" w:right="20"/>
        <w:spacing w:after="0" w:line="360" w:lineRule="auto"/>
        <w:tabs>
          <w:tab w:leader="none" w:pos="123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spacing w:after="0" w:line="352" w:lineRule="auto"/>
        <w:tabs>
          <w:tab w:leader="none" w:pos="124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firstLine="453"/>
        <w:spacing w:after="0" w:line="376" w:lineRule="auto"/>
        <w:tabs>
          <w:tab w:leader="none" w:pos="6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spacing w:after="0" w:line="360" w:lineRule="auto"/>
        <w:tabs>
          <w:tab w:leader="none" w:pos="125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spacing w:after="0" w:line="376" w:lineRule="auto"/>
        <w:tabs>
          <w:tab w:leader="none" w:pos="124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October 28, 2026</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 Rice</w:t>
            </w:r>
          </w:p>
        </w:tc>
      </w:tr>
      <w:tr>
        <w:trPr>
          <w:trHeight w:val="218"/>
        </w:trPr>
        <w:tc>
          <w:tcPr>
            <w:tcW w:w="6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 Rice</w:t>
            </w:r>
          </w:p>
        </w:tc>
      </w:tr>
      <w:tr>
        <w:trPr>
          <w:trHeight w:val="234"/>
        </w:trPr>
        <w:tc>
          <w:tcPr>
            <w:tcW w:w="6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40" w:top="1309"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7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7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78" w:lineRule="exact"/>
        <w:rPr>
          <w:sz w:val="20"/>
          <w:szCs w:val="20"/>
          <w:color w:val="auto"/>
        </w:rPr>
      </w:pPr>
    </w:p>
    <w:p>
      <w:pPr>
        <w:jc w:val="both"/>
        <w:ind w:firstLine="206"/>
        <w:spacing w:after="0" w:line="344" w:lineRule="auto"/>
        <w:rPr>
          <w:sz w:val="20"/>
          <w:szCs w:val="20"/>
          <w:color w:val="auto"/>
        </w:rPr>
      </w:pPr>
      <w:r>
        <w:rPr>
          <w:rFonts w:ascii="Times New Roman" w:cs="Times New Roman" w:eastAsia="Times New Roman" w:hAnsi="Times New Roman"/>
          <w:sz w:val="18"/>
          <w:szCs w:val="18"/>
          <w:color w:val="auto"/>
        </w:rPr>
        <w:t>The undersigned Joseph H. Capper, the Chief Executive Officer of MiMedx Group, Inc. (the “Company”), has executed this certification in connection with the filing with the Securities and Exchange Commission of the Company’s Quarterly Report on Form 10-Q for the period ending September 30, 2026 (the “Report”). Pursuant to 18 U.S.C. Section 1350, as adopted pursuant to Section 906 of the Sarbanes-Oxley Act of 2002, the undersigned hereby certifies, to his knowledge, that:</w:t>
      </w:r>
    </w:p>
    <w:p>
      <w:pPr>
        <w:spacing w:after="0" w:line="27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700" w:val="left"/>
          <w:tab w:leader="none" w:pos="6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21"/>
          <w:szCs w:val="21"/>
          <w:color w:val="auto"/>
        </w:rPr>
        <w:t>/s/ Joseph H. Capper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26670</wp:posOffset>
            </wp:positionV>
            <wp:extent cx="27006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3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Joseph H. Capper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7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7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78" w:lineRule="exact"/>
        <w:rPr>
          <w:sz w:val="20"/>
          <w:szCs w:val="20"/>
          <w:color w:val="auto"/>
        </w:rPr>
      </w:pPr>
    </w:p>
    <w:p>
      <w:pPr>
        <w:jc w:val="both"/>
        <w:ind w:firstLine="183"/>
        <w:spacing w:after="0" w:line="344" w:lineRule="auto"/>
        <w:rPr>
          <w:sz w:val="20"/>
          <w:szCs w:val="20"/>
          <w:color w:val="auto"/>
        </w:rPr>
      </w:pPr>
      <w:r>
        <w:rPr>
          <w:rFonts w:ascii="Times New Roman" w:cs="Times New Roman" w:eastAsia="Times New Roman" w:hAnsi="Times New Roman"/>
          <w:sz w:val="18"/>
          <w:szCs w:val="18"/>
          <w:color w:val="auto"/>
        </w:rPr>
        <w:t>The undersigned, Doug Rice, the Chief Financial Officer of MiMedx Group, Inc. (the “Company”), has executed this certification in connection with the filing with the Securities and Exchange Commission of the Company’s Quarterly Report on Form 10-Q for the period ending September 30, 2026 (the “Report”). Pursuant to 18 U.S.C. Section 1350, as adopted pursuant to Section 906 of the Sarbanes-Oxley Act of 2002, the undersigned hereby certifies, to his knowledge, that:</w:t>
      </w:r>
    </w:p>
    <w:p>
      <w:pPr>
        <w:spacing w:after="0" w:line="271"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28, 2026</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 Rice</w:t>
            </w:r>
          </w:p>
        </w:tc>
      </w:tr>
      <w:tr>
        <w:trPr>
          <w:trHeight w:val="218"/>
        </w:trPr>
        <w:tc>
          <w:tcPr>
            <w:tcW w:w="6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 Rice</w:t>
            </w:r>
          </w:p>
        </w:tc>
      </w:tr>
      <w:tr>
        <w:trPr>
          <w:trHeight w:val="234"/>
        </w:trPr>
        <w:tc>
          <w:tcPr>
            <w:tcW w:w="6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11"/>
    </w:lvl>
  </w:abstractNum>
  <w:abstractNum w:abstractNumId="8">
    <w:nsid w:val="109CF92E"/>
    <w:multiLevelType w:val="hybridMultilevel"/>
    <w:lvl w:ilvl="0">
      <w:lvlJc w:val="left"/>
      <w:lvlText w:val="%1."/>
      <w:numFmt w:val="decimal"/>
      <w:start w:val="13"/>
    </w:lvl>
  </w:abstractNum>
  <w:abstractNum w:abstractNumId="9">
    <w:nsid w:val="DED7263"/>
    <w:multiLevelType w:val="hybridMultilevel"/>
    <w:lvl w:ilvl="0">
      <w:lvlJc w:val="left"/>
      <w:lvlText w:val="%1."/>
      <w:numFmt w:val="decimal"/>
      <w:start w:val="14"/>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
    <w:nsid w:val="4E6AFB66"/>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5">
    <w:nsid w:val="25E45D3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2026-10-28T15:09:33Z</dcterms:created>
  <dcterms:modified xsi:type="dcterms:W3CDTF">2026-10-28T15:09:33Z</dcterms:modified>
</cp:coreProperties>
</file>