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29,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MIMEDX GROUP, INC.</w:t>
      </w:r>
    </w:p>
    <w:p>
      <w:pPr>
        <w:spacing w:after="0" w:line="142" w:lineRule="exact"/>
        <w:rPr>
          <w:sz w:val="24"/>
          <w:szCs w:val="24"/>
          <w:color w:val="auto"/>
        </w:rPr>
      </w:pPr>
    </w:p>
    <w:tbl>
      <w:tblPr>
        <w:tblLayout w:type="fixed"/>
        <w:tblInd w:w="148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4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charter)</w:t>
            </w:r>
          </w:p>
        </w:tc>
        <w:tc>
          <w:tcPr>
            <w:tcW w:w="1580" w:type="dxa"/>
            <w:vAlign w:val="bottom"/>
          </w:tcPr>
          <w:p>
            <w:pPr>
              <w:spacing w:after="0"/>
              <w:rPr>
                <w:sz w:val="13"/>
                <w:szCs w:val="13"/>
                <w:color w:val="auto"/>
              </w:rPr>
            </w:pPr>
          </w:p>
        </w:tc>
      </w:tr>
      <w:tr>
        <w:trPr>
          <w:trHeight w:val="282"/>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Florida</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001-35887</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26-2792552</w:t>
            </w:r>
          </w:p>
        </w:tc>
      </w:tr>
      <w:tr>
        <w:trPr>
          <w:trHeight w:val="153"/>
        </w:trPr>
        <w:tc>
          <w:tcPr>
            <w:tcW w:w="19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1900" w:type="dxa"/>
            <w:vAlign w:val="bottom"/>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58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4"/>
        </w:trPr>
        <w:tc>
          <w:tcPr>
            <w:tcW w:w="1900" w:type="dxa"/>
            <w:vAlign w:val="bottom"/>
          </w:tcPr>
          <w:p>
            <w:pPr>
              <w:spacing w:after="0"/>
              <w:rPr>
                <w:sz w:val="24"/>
                <w:szCs w:val="24"/>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1775 West Oak Commons Ct., NE, Marietta GA 30062</w:t>
            </w:r>
          </w:p>
        </w:tc>
        <w:tc>
          <w:tcPr>
            <w:tcW w:w="1580" w:type="dxa"/>
            <w:vAlign w:val="bottom"/>
          </w:tcPr>
          <w:p>
            <w:pPr>
              <w:spacing w:after="0"/>
              <w:rPr>
                <w:sz w:val="24"/>
                <w:szCs w:val="24"/>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1580" w:type="dxa"/>
            <w:vAlign w:val="bottom"/>
          </w:tcPr>
          <w:p>
            <w:pPr>
              <w:spacing w:after="0"/>
              <w:rPr>
                <w:sz w:val="22"/>
                <w:szCs w:val="22"/>
                <w:color w:val="auto"/>
              </w:rPr>
            </w:pPr>
          </w:p>
        </w:tc>
      </w:tr>
      <w:tr>
        <w:trPr>
          <w:trHeight w:val="270"/>
        </w:trPr>
        <w:tc>
          <w:tcPr>
            <w:tcW w:w="1900" w:type="dxa"/>
            <w:vAlign w:val="bottom"/>
          </w:tcPr>
          <w:p>
            <w:pPr>
              <w:spacing w:after="0"/>
              <w:rPr>
                <w:sz w:val="23"/>
                <w:szCs w:val="23"/>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(770) 651-9100</w:t>
            </w:r>
          </w:p>
        </w:tc>
        <w:tc>
          <w:tcPr>
            <w:tcW w:w="1580" w:type="dxa"/>
            <w:vAlign w:val="bottom"/>
          </w:tcPr>
          <w:p>
            <w:pPr>
              <w:spacing w:after="0"/>
              <w:rPr>
                <w:sz w:val="23"/>
                <w:szCs w:val="23"/>
                <w:color w:val="auto"/>
              </w:rPr>
            </w:pPr>
          </w:p>
        </w:tc>
      </w:tr>
      <w:tr>
        <w:trPr>
          <w:trHeight w:val="261"/>
        </w:trPr>
        <w:tc>
          <w:tcPr>
            <w:tcW w:w="1900" w:type="dxa"/>
            <w:vAlign w:val="bottom"/>
          </w:tcPr>
          <w:p>
            <w:pPr>
              <w:spacing w:after="0"/>
              <w:rPr>
                <w:sz w:val="22"/>
                <w:szCs w:val="22"/>
                <w:color w:val="auto"/>
              </w:rPr>
            </w:pPr>
          </w:p>
        </w:tc>
        <w:tc>
          <w:tcPr>
            <w:tcW w:w="46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____________________</w:t>
            </w:r>
          </w:p>
        </w:tc>
        <w:tc>
          <w:tcPr>
            <w:tcW w:w="1580" w:type="dxa"/>
            <w:vAlign w:val="bottom"/>
          </w:tcPr>
          <w:p>
            <w:pPr>
              <w:spacing w:after="0"/>
              <w:rPr>
                <w:sz w:val="22"/>
                <w:szCs w:val="22"/>
                <w:color w:val="auto"/>
              </w:rPr>
            </w:pP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highlight w:val="black"/>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340" w:type="dxa"/>
            <w:vAlign w:val="bottom"/>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940" w:type="dxa"/>
            <w:vAlign w:val="bottom"/>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9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34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39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34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Common Stock, $0.001 par value per share</w:t>
            </w:r>
          </w:p>
        </w:tc>
        <w:tc>
          <w:tcPr>
            <w:tcW w:w="2940" w:type="dxa"/>
            <w:vAlign w:val="bottom"/>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MDXG</w:t>
            </w:r>
          </w:p>
        </w:tc>
        <w:tc>
          <w:tcPr>
            <w:tcW w:w="3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c>
          <w:tcPr>
            <w:tcW w:w="0" w:type="dxa"/>
            <w:vAlign w:val="bottom"/>
          </w:tcPr>
          <w:p>
            <w:pPr>
              <w:spacing w:after="0"/>
              <w:rPr>
                <w:sz w:val="1"/>
                <w:szCs w:val="1"/>
                <w:color w:val="auto"/>
              </w:rPr>
            </w:pPr>
          </w:p>
        </w:tc>
      </w:tr>
    </w:tbl>
    <w:p>
      <w:pPr>
        <w:spacing w:after="0" w:line="16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Important Cautionary Statement</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report includes forward-looking statements. Statements regarding: (i) future sales or sales growth; (ii) our 2026 and longer term financial goals and expectations for future financial results, including levels of net sales, Adjusted EBITDA, Adjusted EBITDA margin, corporate expenses and cash; (iii) our expectations regarding the placental tissue market; (iv) our expectations regarding Medicare reimbursement; and (v) performance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On April 29, 2026, MiMedx Group,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(the “</w:t>
      </w:r>
      <w:r>
        <w:rPr>
          <w:rFonts w:ascii="Times New Roman" w:cs="Times New Roman" w:eastAsia="Times New Roman" w:hAnsi="Times New Roman"/>
          <w:sz w:val="12"/>
          <w:szCs w:val="12"/>
          <w:b w:val="1"/>
          <w:bCs w:val="1"/>
          <w:color w:val="auto"/>
        </w:rPr>
        <w:t>Earnings Press Release</w:t>
      </w:r>
      <w:r>
        <w:rPr>
          <w:rFonts w:ascii="Times New Roman" w:cs="Times New Roman" w:eastAsia="Times New Roman" w:hAnsi="Times New Roman"/>
          <w:sz w:val="12"/>
          <w:szCs w:val="12"/>
          <w:color w:val="auto"/>
        </w:rPr>
        <w:t>”) announcing its results for the first quarter of 2026. A copy of the Earnings Press Release is attached hereto as Exhibit 99.1 and is incorporated herein by reference.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foregoing information is furnished pursuant to Item 2.02, “Results of Operations and Financial Condition”, including Exhibit 99.1 attached hereto,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It may only be incorporated by reference into another filing under the Exchange Act or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if such subsequent filing specifically references this Form 8-K. All information in the Earnings Press Release speaks as of the date thereof and the Company does not assume any obligation to update such information in the future. In addition, the Company disclaims any inference regarding the materiality of such information which otherwise may arise as a result of its furnishing such information under Item 2.02 of this report on Form 8-K.</w:t>
      </w:r>
    </w:p>
    <w:p>
      <w:pPr>
        <w:spacing w:after="0" w:line="28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On April 29, 2026 at 4:30 PM Eastern Daylight Time, the Company intends to host a conference call and webcast (the “</w:t>
      </w:r>
      <w:r>
        <w:rPr>
          <w:rFonts w:ascii="Times New Roman" w:cs="Times New Roman" w:eastAsia="Times New Roman" w:hAnsi="Times New Roman"/>
          <w:sz w:val="12"/>
          <w:szCs w:val="12"/>
          <w:b w:val="1"/>
          <w:bCs w:val="1"/>
          <w:color w:val="auto"/>
        </w:rPr>
        <w:t>Earnings Call</w:t>
      </w:r>
      <w:r>
        <w:rPr>
          <w:rFonts w:ascii="Times New Roman" w:cs="Times New Roman" w:eastAsia="Times New Roman" w:hAnsi="Times New Roman"/>
          <w:sz w:val="12"/>
          <w:szCs w:val="12"/>
          <w:color w:val="auto"/>
        </w:rPr>
        <w:t>”) to discuss its financial and operating results for the first quarter of 2026. A copy of the slide presentation to be used by the Company in connection with the Earnings Call is attached hereto as Exhibit 99.2 and is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updated its investor presentation on April 29, 2026. A copy of the presentation materials is furnished as Exhibit 99.3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information is furnished pursuant to Item 7.01, including Exhibit 99.2 attached hereto, and shall not be deemed “filed” for purposes of Section 18 of the Exchange Act, or otherwise subject to the liabilities of that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 may only be incorporated by reference into another filing under the Exchange Act or Securities Act if such subsequent filing specifically references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99.1</w:t>
            </w:r>
          </w:p>
        </w:tc>
        <w:tc>
          <w:tcPr>
            <w:tcW w:w="2140" w:type="dxa"/>
            <w:vAlign w:val="bottom"/>
            <w:tcBorders>
              <w:bottom w:val="single" w:sz="8" w:color="0000FF"/>
            </w:tcBorders>
            <w:gridSpan w:val="2"/>
          </w:tcPr>
          <w:p>
            <w:pPr>
              <w:spacing w:after="0" w:line="128" w:lineRule="exact"/>
              <w:rPr>
                <w:sz w:val="20"/>
                <w:szCs w:val="20"/>
                <w:color w:val="auto"/>
              </w:rPr>
            </w:pPr>
            <w:r>
              <w:rPr>
                <w:rFonts w:ascii="Times New Roman" w:cs="Times New Roman" w:eastAsia="Times New Roman" w:hAnsi="Times New Roman"/>
                <w:sz w:val="12"/>
                <w:szCs w:val="12"/>
                <w:color w:val="0000FF"/>
                <w:w w:val="99"/>
              </w:rPr>
              <w:t>Earnings Press Release dated April 29, 2026</w:t>
            </w:r>
          </w:p>
        </w:tc>
        <w:tc>
          <w:tcPr>
            <w:tcW w:w="7940" w:type="dxa"/>
            <w:vAlign w:val="bottom"/>
            <w:gridSpan w:val="2"/>
          </w:tcPr>
          <w:p>
            <w:pPr>
              <w:spacing w:after="0"/>
              <w:rPr>
                <w:sz w:val="11"/>
                <w:szCs w:val="11"/>
                <w:color w:val="auto"/>
              </w:rPr>
            </w:pPr>
          </w:p>
        </w:tc>
      </w:tr>
      <w:tr>
        <w:trPr>
          <w:trHeight w:val="133"/>
        </w:trPr>
        <w:tc>
          <w:tcPr>
            <w:tcW w:w="1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00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Earnings Call Presentation dated April 29, 2026</w:t>
            </w:r>
          </w:p>
        </w:tc>
      </w:tr>
      <w:tr>
        <w:trPr>
          <w:trHeight w:val="133"/>
        </w:trPr>
        <w:tc>
          <w:tcPr>
            <w:tcW w:w="1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99.3</w:t>
            </w:r>
          </w:p>
        </w:tc>
        <w:tc>
          <w:tcPr>
            <w:tcW w:w="204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Investor Presentation dated April 29, 2026</w:t>
            </w:r>
          </w:p>
        </w:tc>
        <w:tc>
          <w:tcPr>
            <w:tcW w:w="260" w:type="dxa"/>
            <w:vAlign w:val="bottom"/>
            <w:tcBorders>
              <w:top w:val="single" w:sz="8" w:color="0000FF"/>
            </w:tcBorders>
            <w:gridSpan w:val="2"/>
          </w:tcPr>
          <w:p>
            <w:pPr>
              <w:spacing w:after="0"/>
              <w:rPr>
                <w:sz w:val="11"/>
                <w:szCs w:val="11"/>
                <w:color w:val="auto"/>
              </w:rPr>
            </w:pPr>
          </w:p>
        </w:tc>
        <w:tc>
          <w:tcPr>
            <w:tcW w:w="7780" w:type="dxa"/>
            <w:vAlign w:val="bottom"/>
          </w:tcPr>
          <w:p>
            <w:pPr>
              <w:spacing w:after="0"/>
              <w:rPr>
                <w:sz w:val="11"/>
                <w:szCs w:val="11"/>
                <w:color w:val="auto"/>
              </w:rPr>
            </w:pP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r>
        <w:trPr>
          <w:trHeight w:val="765"/>
        </w:trPr>
        <w:tc>
          <w:tcPr>
            <w:tcW w:w="1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b w:val="1"/>
          <w:bCs w:val="1"/>
          <w:color w:val="auto"/>
        </w:rPr>
        <w:t>MIMEDX GROUP, INC.</w:t>
      </w:r>
    </w:p>
    <w:p>
      <w:pPr>
        <w:spacing w:after="0" w:line="298"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2"/>
          <w:szCs w:val="12"/>
          <w:color w:val="auto"/>
        </w:rPr>
        <w:t>April 29, 2026</w:t>
      </w:r>
      <w:r>
        <w:rPr>
          <w:sz w:val="20"/>
          <w:szCs w:val="20"/>
          <w:color w:val="auto"/>
        </w:rPr>
        <w:tab/>
      </w:r>
      <w:r>
        <w:rPr>
          <w:rFonts w:ascii="Times New Roman" w:cs="Times New Roman" w:eastAsia="Times New Roman" w:hAnsi="Times New Roman"/>
          <w:sz w:val="11"/>
          <w:szCs w:val="11"/>
          <w:color w:val="auto"/>
        </w:rPr>
        <w:t>By: /s/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10795</wp:posOffset>
            </wp:positionV>
            <wp:extent cx="30118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1805" cy="571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Doug Rice</w:t>
      </w:r>
    </w:p>
    <w:p>
      <w:pPr>
        <w:ind w:left="60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159"/>
          </w:cols>
          <w:pgMar w:left="300" w:top="104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2026-04-29T15:23:55Z</dcterms:created>
  <dcterms:modified xsi:type="dcterms:W3CDTF">2026-04-29T15:23:55Z</dcterms:modified>
</cp:coreProperties>
</file>