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ea0299774-425_mimedx.htm"/>
      <w:bookmarkStart w:id="1" w:name="ksea0299774425_mimedx"/>
      <w:bookmarkEnd w:id="0"/>
      <w:bookmarkEnd w:id="1"/>
      <w:r>
        <w:rPr>
          <w:rFonts w:ascii="Times New Roman;Times;Serif" w:hAnsi="Times New Roman;Times;Serif"/>
          <w:b w:val="false"/>
          <w:i w:val="false"/>
          <w:caps w:val="false"/>
          <w:smallCaps w:val="false"/>
          <w:sz w:val="20"/>
        </w:rPr>
        <w:t>Filed by MiMedx Group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Commercial Talking Points – Sanara Acquisition</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MIMEDX recently announced an agreement to acquire Sanara MedTech. You can find more information on the deal by referencing the press release on our website: mimedx.com.</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This is a very exciting development for the company, which brings together two highly focused organizations with a robust combination of healthcare expertise, commercial presence, and trusted products.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Together, MIMEDX and Sanara will provide an unmatched portfolio of regenerative products across surgical and wound care markets, within many of the same care settings we operate today.</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Additionally, we believe the reach we will have with our combined product portfolio will be even greater as we are able to further penetrate a broader number of surgical subspecialties.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This announcement is just the first step in a longer process. The transaction is expected to close by the end of the year, subject to customary closing conditions. Until then, it remains business as usual, and MIMEDX and Sanara will continue to operate as separate companies.</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MIMEDX products, services, and team you count on today will be available with no interruption. We remain fully committed to supporting you and your patients and there are no changes to how we work with you, and your day-to-day contacts at MIMEDX will remain the same.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pPr>
            <w:r>
              <w:rPr/>
              <w:t>I will continue to keep you informed as I have updates to share to best ensure continuity at your account.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left"/>
              <w:rPr/>
            </w:pPr>
            <w:r>
              <w:rPr/>
              <w:t>I look forward to sharing the details of our enhanced suite of products in the near future.</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8"/>
        <w:gridCol w:w="9951"/>
      </w:tblGrid>
      <w:tr>
        <w:trPr/>
        <w:tc>
          <w:tcPr>
            <w:tcW w:w="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51" w:type="dxa"/>
            <w:tcBorders/>
            <w:vAlign w:val="center"/>
          </w:tcPr>
          <w:p>
            <w:pPr>
              <w:pStyle w:val="TableContents"/>
              <w:bidi w:val="0"/>
              <w:spacing w:before="0" w:after="283"/>
              <w:jc w:val="left"/>
              <w:rPr/>
            </w:pPr>
            <w:r>
              <w:rPr/>
              <w:t>Thank you for your continued support. Please let me know if you have any questions.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845</Words>
  <Characters>4569</Characters>
  <CharactersWithSpaces>5406</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