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580" w:right="2220" w:hanging="554"/>
        <w:spacing w:after="0" w:line="237"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Quarterly Period Ended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30, 2022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60" w:right="2220" w:hanging="534"/>
        <w:spacing w:after="0" w:line="237"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For the transition period from _____________________to______________________</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001-35887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MIMEDX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540" w:type="dxa"/>
        <w:tblCellMar>
          <w:top w:w="0" w:type="dxa"/>
          <w:left w:w="0" w:type="dxa"/>
          <w:bottom w:w="0" w:type="dxa"/>
          <w:right w:w="0" w:type="dxa"/>
        </w:tblCellMar>
      </w:tblPr>
      <w:tr>
        <w:trPr>
          <w:trHeight w:val="233"/>
        </w:trPr>
        <w:tc>
          <w:tcPr>
            <w:tcW w:w="44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Florida</w:t>
            </w:r>
          </w:p>
        </w:tc>
        <w:tc>
          <w:tcPr>
            <w:tcW w:w="4840" w:type="dxa"/>
            <w:vAlign w:val="bottom"/>
          </w:tcPr>
          <w:p>
            <w:pPr>
              <w:jc w:val="right"/>
              <w:ind w:right="770"/>
              <w:spacing w:after="0"/>
              <w:rPr>
                <w:sz w:val="20"/>
                <w:szCs w:val="20"/>
                <w:color w:val="auto"/>
              </w:rPr>
            </w:pPr>
            <w:r>
              <w:rPr>
                <w:rFonts w:ascii="Arial" w:cs="Arial" w:eastAsia="Arial" w:hAnsi="Arial"/>
                <w:sz w:val="18"/>
                <w:szCs w:val="18"/>
                <w:b w:val="1"/>
                <w:bCs w:val="1"/>
                <w:color w:val="auto"/>
              </w:rPr>
              <w:t>26-2792552</w:t>
            </w:r>
          </w:p>
        </w:tc>
        <w:tc>
          <w:tcPr>
            <w:tcW w:w="0" w:type="dxa"/>
            <w:vAlign w:val="bottom"/>
          </w:tcPr>
          <w:p>
            <w:pPr>
              <w:spacing w:after="0"/>
              <w:rPr>
                <w:sz w:val="1"/>
                <w:szCs w:val="1"/>
                <w:color w:val="auto"/>
              </w:rPr>
            </w:pPr>
          </w:p>
        </w:tc>
      </w:tr>
      <w:tr>
        <w:trPr>
          <w:trHeight w:val="230"/>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40" w:type="dxa"/>
            <w:vAlign w:val="bottom"/>
          </w:tcPr>
          <w:p>
            <w:pPr>
              <w:jc w:val="center"/>
              <w:ind w:left="21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97"/>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1775 West Oak Commons Ct NE</w:t>
            </w:r>
          </w:p>
        </w:tc>
        <w:tc>
          <w:tcPr>
            <w:tcW w:w="484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30062</w:t>
            </w:r>
          </w:p>
        </w:tc>
        <w:tc>
          <w:tcPr>
            <w:tcW w:w="0" w:type="dxa"/>
            <w:vAlign w:val="bottom"/>
          </w:tcPr>
          <w:p>
            <w:pPr>
              <w:spacing w:after="0"/>
              <w:rPr>
                <w:sz w:val="1"/>
                <w:szCs w:val="1"/>
                <w:color w:val="auto"/>
              </w:rPr>
            </w:pPr>
          </w:p>
        </w:tc>
      </w:tr>
      <w:tr>
        <w:trPr>
          <w:trHeight w:val="229"/>
        </w:trPr>
        <w:tc>
          <w:tcPr>
            <w:tcW w:w="44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Marietta, GA</w:t>
            </w:r>
          </w:p>
        </w:tc>
        <w:tc>
          <w:tcPr>
            <w:tcW w:w="4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840" w:type="dxa"/>
            <w:vAlign w:val="bottom"/>
          </w:tcPr>
          <w:p>
            <w:pPr>
              <w:jc w:val="center"/>
              <w:ind w:left="21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97"/>
        </w:trPr>
        <w:tc>
          <w:tcPr>
            <w:tcW w:w="4420" w:type="dxa"/>
            <w:vAlign w:val="bottom"/>
          </w:tcPr>
          <w:p>
            <w:pPr>
              <w:spacing w:after="0"/>
              <w:rPr>
                <w:sz w:val="24"/>
                <w:szCs w:val="24"/>
                <w:color w:val="auto"/>
              </w:rPr>
            </w:pPr>
          </w:p>
        </w:tc>
        <w:tc>
          <w:tcPr>
            <w:tcW w:w="4840" w:type="dxa"/>
            <w:vAlign w:val="bottom"/>
          </w:tcPr>
          <w:p>
            <w:pPr>
              <w:jc w:val="right"/>
              <w:ind w:right="3530"/>
              <w:spacing w:after="0"/>
              <w:rPr>
                <w:sz w:val="20"/>
                <w:szCs w:val="20"/>
                <w:color w:val="auto"/>
              </w:rPr>
            </w:pPr>
            <w:r>
              <w:rPr>
                <w:rFonts w:ascii="Arial" w:cs="Arial" w:eastAsia="Arial" w:hAnsi="Arial"/>
                <w:sz w:val="18"/>
                <w:szCs w:val="18"/>
                <w:b w:val="1"/>
                <w:bCs w:val="1"/>
                <w:color w:val="auto"/>
                <w:w w:val="97"/>
              </w:rPr>
              <w:t>(770) 651-9100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212529"/>
        </w:rPr>
        <w:t>Securities registered pursuant to Section 12(b) of the Act:</w:t>
      </w:r>
    </w:p>
    <w:p>
      <w:pPr>
        <w:spacing w:after="0" w:line="22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vMerge w:val="restart"/>
          </w:tcPr>
          <w:p>
            <w:pPr>
              <w:jc w:val="center"/>
              <w:ind w:right="65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94"/>
        </w:trPr>
        <w:tc>
          <w:tcPr>
            <w:tcW w:w="3860" w:type="dxa"/>
            <w:vAlign w:val="bottom"/>
            <w:vMerge w:val="continue"/>
          </w:tcPr>
          <w:p>
            <w:pPr>
              <w:spacing w:after="0"/>
              <w:rPr>
                <w:sz w:val="8"/>
                <w:szCs w:val="8"/>
                <w:color w:val="auto"/>
              </w:rPr>
            </w:pPr>
          </w:p>
        </w:tc>
        <w:tc>
          <w:tcPr>
            <w:tcW w:w="2840" w:type="dxa"/>
            <w:vAlign w:val="bottom"/>
            <w:vMerge w:val="continue"/>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60" w:type="dxa"/>
            <w:vAlign w:val="bottom"/>
          </w:tcPr>
          <w:p>
            <w:pPr>
              <w:jc w:val="center"/>
              <w:ind w:right="650"/>
              <w:spacing w:after="0"/>
              <w:rPr>
                <w:sz w:val="20"/>
                <w:szCs w:val="20"/>
                <w:color w:val="auto"/>
              </w:rPr>
            </w:pPr>
            <w:r>
              <w:rPr>
                <w:rFonts w:ascii="Arial" w:cs="Arial" w:eastAsia="Arial" w:hAnsi="Arial"/>
                <w:sz w:val="18"/>
                <w:szCs w:val="18"/>
                <w:color w:val="auto"/>
                <w:w w:val="89"/>
              </w:rPr>
              <w:t>Common Stock, par value $0.001 per share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MDXG</w:t>
            </w:r>
          </w:p>
        </w:tc>
        <w:tc>
          <w:tcPr>
            <w:tcW w:w="4000" w:type="dxa"/>
            <w:vAlign w:val="bottom"/>
          </w:tcPr>
          <w:p>
            <w:pPr>
              <w:jc w:val="center"/>
              <w:ind w:left="590"/>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212529"/>
        </w:rPr>
        <w:t>Securities registered pursuant to Section 12(g) of the Act: None.</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9"/>
        </w:trPr>
        <w:tc>
          <w:tcPr>
            <w:tcW w:w="2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jc w:val="center"/>
              <w:ind w:left="11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80" w:type="dxa"/>
            <w:vAlign w:val="bottom"/>
            <w:vMerge w:val="restart"/>
          </w:tcPr>
          <w:p>
            <w:pPr>
              <w:spacing w:after="0"/>
              <w:rPr>
                <w:sz w:val="20"/>
                <w:szCs w:val="20"/>
                <w:color w:val="auto"/>
              </w:rPr>
            </w:pPr>
            <w:r>
              <w:rPr>
                <w:rFonts w:ascii="Arial" w:cs="Arial" w:eastAsia="Arial" w:hAnsi="Arial"/>
                <w:sz w:val="18"/>
                <w:szCs w:val="18"/>
                <w:color w:val="auto"/>
              </w:rPr>
              <w:t>Large accelerated filer x</w:t>
            </w:r>
          </w:p>
        </w:tc>
        <w:tc>
          <w:tcPr>
            <w:tcW w:w="2140" w:type="dxa"/>
            <w:vAlign w:val="bottom"/>
            <w:vMerge w:val="restart"/>
          </w:tcPr>
          <w:p>
            <w:pPr>
              <w:ind w:left="4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8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2"/>
              </w:rPr>
              <w:t>(Do not check if a smaller</w:t>
            </w:r>
          </w:p>
        </w:tc>
        <w:tc>
          <w:tcPr>
            <w:tcW w:w="4520" w:type="dxa"/>
            <w:vAlign w:val="bottom"/>
            <w:vMerge w:val="restart"/>
          </w:tcPr>
          <w:p>
            <w:pPr>
              <w:ind w:left="10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49"/>
        </w:trPr>
        <w:tc>
          <w:tcPr>
            <w:tcW w:w="2180" w:type="dxa"/>
            <w:vAlign w:val="bottom"/>
            <w:vMerge w:val="continue"/>
          </w:tcPr>
          <w:p>
            <w:pPr>
              <w:spacing w:after="0"/>
              <w:rPr>
                <w:sz w:val="21"/>
                <w:szCs w:val="21"/>
                <w:color w:val="auto"/>
              </w:rPr>
            </w:pPr>
          </w:p>
        </w:tc>
        <w:tc>
          <w:tcPr>
            <w:tcW w:w="2140" w:type="dxa"/>
            <w:vAlign w:val="bottom"/>
            <w:vMerge w:val="continue"/>
          </w:tcPr>
          <w:p>
            <w:pPr>
              <w:spacing w:after="0"/>
              <w:rPr>
                <w:sz w:val="21"/>
                <w:szCs w:val="21"/>
                <w:color w:val="auto"/>
              </w:rPr>
            </w:pPr>
          </w:p>
        </w:tc>
        <w:tc>
          <w:tcPr>
            <w:tcW w:w="2280" w:type="dxa"/>
            <w:vAlign w:val="bottom"/>
          </w:tcPr>
          <w:p>
            <w:pPr>
              <w:jc w:val="center"/>
              <w:ind w:left="90"/>
              <w:spacing w:after="0"/>
              <w:rPr>
                <w:sz w:val="20"/>
                <w:szCs w:val="20"/>
                <w:color w:val="auto"/>
              </w:rPr>
            </w:pPr>
            <w:r>
              <w:rPr>
                <w:rFonts w:ascii="Arial" w:cs="Arial" w:eastAsia="Arial" w:hAnsi="Arial"/>
                <w:sz w:val="18"/>
                <w:szCs w:val="18"/>
                <w:color w:val="auto"/>
                <w:w w:val="91"/>
              </w:rPr>
              <w:t>reporting company)</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were 113,608,607 shares of the registrant’s common stock, par value $0.001 per share, outstanding as of July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3"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00" w:type="dxa"/>
            <w:vAlign w:val="bottom"/>
          </w:tcPr>
          <w:p>
            <w:pPr>
              <w:spacing w:after="0"/>
              <w:rPr>
                <w:sz w:val="16"/>
                <w:szCs w:val="16"/>
                <w:color w:val="auto"/>
              </w:rPr>
            </w:pPr>
          </w:p>
        </w:tc>
        <w:tc>
          <w:tcPr>
            <w:tcW w:w="8860" w:type="dxa"/>
            <w:vAlign w:val="bottom"/>
            <w:gridSpan w:val="2"/>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8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00" w:type="dxa"/>
            <w:vAlign w:val="bottom"/>
          </w:tcPr>
          <w:p>
            <w:pPr>
              <w:ind w:left="140"/>
              <w:spacing w:after="0"/>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rPr>
                <w:sz w:val="20"/>
                <w:szCs w:val="20"/>
                <w:color w:val="auto"/>
              </w:rPr>
            </w:pPr>
            <w:r>
              <w:rPr>
                <w:rFonts w:ascii="Arial" w:cs="Arial" w:eastAsia="Arial" w:hAnsi="Arial"/>
                <w:sz w:val="18"/>
                <w:szCs w:val="18"/>
                <w:color w:val="auto"/>
              </w:rPr>
              <w:t>1</w:t>
            </w:r>
          </w:p>
        </w:tc>
        <w:tc>
          <w:tcPr>
            <w:tcW w:w="826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Condensed Consolidated Balance Sheets</w:t>
            </w: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Condensed Consolidated Statements of Stockholders’ (Deficit) Equity</w:t>
            </w: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Notes to the Condensed Consolidated Financial Statements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Controls and Procedures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Part II</w:t>
            </w:r>
          </w:p>
        </w:tc>
        <w:tc>
          <w:tcPr>
            <w:tcW w:w="8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INFORMATION</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1</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Legal Proceedings</w:t>
            </w:r>
          </w:p>
        </w:tc>
        <w:tc>
          <w:tcPr>
            <w:tcW w:w="1840" w:type="dxa"/>
            <w:vAlign w:val="bottom"/>
            <w:gridSpan w:val="4"/>
          </w:tcPr>
          <w:p>
            <w:pPr>
              <w:jc w:val="right"/>
              <w:ind w:right="2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1A</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Risk Factors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2</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Defaults upon Senior Securities</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Mine Safety Disclosures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w:t>
            </w:r>
          </w:p>
        </w:tc>
        <w:tc>
          <w:tcPr>
            <w:tcW w:w="8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Other Information</w:t>
            </w:r>
          </w:p>
        </w:tc>
        <w:tc>
          <w:tcPr>
            <w:tcW w:w="16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ind w:left="140"/>
              <w:spacing w:after="0" w:line="189" w:lineRule="exact"/>
              <w:rPr>
                <w:sz w:val="20"/>
                <w:szCs w:val="20"/>
                <w:color w:val="auto"/>
              </w:rPr>
            </w:pPr>
            <w:r>
              <w:rPr>
                <w:rFonts w:ascii="Arial" w:cs="Arial" w:eastAsia="Arial" w:hAnsi="Arial"/>
                <w:sz w:val="18"/>
                <w:szCs w:val="18"/>
                <w:color w:val="auto"/>
                <w:w w:val="96"/>
              </w:rPr>
              <w:t>Item</w:t>
            </w:r>
          </w:p>
        </w:tc>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8260" w:type="dxa"/>
            <w:vAlign w:val="bottom"/>
          </w:tcPr>
          <w:p>
            <w:pPr>
              <w:ind w:left="180"/>
              <w:spacing w:after="0" w:line="189" w:lineRule="exact"/>
              <w:rPr>
                <w:sz w:val="20"/>
                <w:szCs w:val="20"/>
                <w:color w:val="auto"/>
              </w:rPr>
            </w:pPr>
            <w:r>
              <w:rPr>
                <w:rFonts w:ascii="Arial" w:cs="Arial" w:eastAsia="Arial" w:hAnsi="Arial"/>
                <w:sz w:val="18"/>
                <w:szCs w:val="18"/>
                <w:color w:val="auto"/>
              </w:rPr>
              <w:t>Exhibits</w:t>
            </w:r>
          </w:p>
        </w:tc>
        <w:tc>
          <w:tcPr>
            <w:tcW w:w="1640" w:type="dxa"/>
            <w:vAlign w:val="bottom"/>
          </w:tcPr>
          <w:p>
            <w:pPr>
              <w:spacing w:after="0"/>
              <w:rPr>
                <w:sz w:val="16"/>
                <w:szCs w:val="16"/>
                <w:color w:val="auto"/>
              </w:rPr>
            </w:pPr>
          </w:p>
        </w:tc>
        <w:tc>
          <w:tcPr>
            <w:tcW w:w="200" w:type="dxa"/>
            <w:vAlign w:val="bottom"/>
            <w:gridSpan w:val="3"/>
          </w:tcPr>
          <w:p>
            <w:pPr>
              <w:jc w:val="right"/>
              <w:ind w:right="20"/>
              <w:spacing w:after="0" w:line="189"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1"/>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Signatures</w:t>
            </w:r>
          </w:p>
        </w:tc>
        <w:tc>
          <w:tcPr>
            <w:tcW w:w="8260" w:type="dxa"/>
            <w:vAlign w:val="bottom"/>
            <w:shd w:val="clear" w:color="auto" w:fill="CCEEFF"/>
          </w:tcPr>
          <w:p>
            <w:pPr>
              <w:spacing w:after="0"/>
              <w:rPr>
                <w:sz w:val="16"/>
                <w:szCs w:val="16"/>
                <w:color w:val="auto"/>
              </w:rPr>
            </w:pPr>
          </w:p>
        </w:tc>
        <w:tc>
          <w:tcPr>
            <w:tcW w:w="18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As used herein, the terms “</w:t>
      </w:r>
      <w:r>
        <w:rPr>
          <w:rFonts w:ascii="Arial" w:cs="Arial" w:eastAsia="Arial" w:hAnsi="Arial"/>
          <w:sz w:val="18"/>
          <w:szCs w:val="18"/>
          <w:b w:val="1"/>
          <w:bCs w:val="1"/>
          <w:i w:val="1"/>
          <w:iCs w:val="1"/>
          <w:color w:val="auto"/>
        </w:rPr>
        <w:t>MIMEDX</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us</w:t>
      </w:r>
      <w:r>
        <w:rPr>
          <w:rFonts w:ascii="Arial" w:cs="Arial" w:eastAsia="Arial" w:hAnsi="Arial"/>
          <w:sz w:val="18"/>
          <w:szCs w:val="18"/>
          <w:color w:val="auto"/>
        </w:rPr>
        <w:t>” refer to MiMedx Group, Inc., a Florida corporation, and its consolidated subsidiaries as a combined entity, except where it is clear that the terms mean only MiMedx Group,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Cautionary Statement Regarding Forward-Looking Statements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Quarterly Report on Form 10-Q (this “</w:t>
      </w:r>
      <w:r>
        <w:rPr>
          <w:rFonts w:ascii="Arial" w:cs="Arial" w:eastAsia="Arial" w:hAnsi="Arial"/>
          <w:sz w:val="18"/>
          <w:szCs w:val="18"/>
          <w:b w:val="1"/>
          <w:bCs w:val="1"/>
          <w:i w:val="1"/>
          <w:iCs w:val="1"/>
          <w:color w:val="auto"/>
        </w:rPr>
        <w:t>Quarterly Report</w:t>
      </w:r>
      <w:r>
        <w:rPr>
          <w:rFonts w:ascii="Arial" w:cs="Arial" w:eastAsia="Arial" w:hAnsi="Arial"/>
          <w:sz w:val="18"/>
          <w:szCs w:val="18"/>
          <w:color w:val="auto"/>
        </w:rPr>
        <w:t>”) contains forward-looking statements. All statements relating to events or results that may occur in the future are forward-looking statements, including, without limitation, statements regarding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focus and current business priorities, and our ability to implement these priorities, including as a result of our no longer being able to market our micronized products and certain other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ongoing operations and future operating costs and the sufficiency of our liquidity and existing capital resources to implement our current business priorities;;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income tax 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of our products and development of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potential markets for our products and any growth in such markets;</w:t>
      </w:r>
    </w:p>
    <w:p>
      <w:pPr>
        <w:spacing w:after="0" w:line="157" w:lineRule="exact"/>
        <w:rPr>
          <w:rFonts w:ascii="Arial" w:cs="Arial" w:eastAsia="Arial" w:hAnsi="Arial"/>
          <w:sz w:val="18"/>
          <w:szCs w:val="18"/>
          <w:color w:val="auto"/>
        </w:rPr>
      </w:pPr>
    </w:p>
    <w:p>
      <w:pPr>
        <w:jc w:val="both"/>
        <w:ind w:left="660" w:hanging="328"/>
        <w:spacing w:after="0" w:line="29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regulatory pathway for our products, including our existing and planned investigative new drug application and pre-market approval requirements; current plans, designs, expected timelines, and expectations for success of our clinical trials; and our expectations regarding timing and receipt of necessary regulatory approvals for certain of our products, including Biological License Applications (“</w:t>
      </w:r>
      <w:r>
        <w:rPr>
          <w:rFonts w:ascii="Arial" w:cs="Arial" w:eastAsia="Arial" w:hAnsi="Arial"/>
          <w:sz w:val="16"/>
          <w:szCs w:val="16"/>
          <w:b w:val="1"/>
          <w:bCs w:val="1"/>
          <w:i w:val="1"/>
          <w:iCs w:val="1"/>
          <w:color w:val="auto"/>
        </w:rPr>
        <w:t>BLAs</w:t>
      </w:r>
      <w:r>
        <w:rPr>
          <w:rFonts w:ascii="Arial" w:cs="Arial" w:eastAsia="Arial" w:hAnsi="Arial"/>
          <w:sz w:val="16"/>
          <w:szCs w:val="16"/>
          <w:color w:val="auto"/>
        </w:rPr>
        <w:t>”);</w:t>
      </w:r>
    </w:p>
    <w:p>
      <w:pPr>
        <w:spacing w:after="0" w:line="93"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ongoing regulatory obligations and oversight and the changing nature thereof impacting our products, research and clinical programs, and business, including those relating to patient privacy;</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manufacture certain of our products in compliance with current Good Manufacturing Practices (“</w:t>
      </w:r>
      <w:r>
        <w:rPr>
          <w:rFonts w:ascii="Arial" w:cs="Arial" w:eastAsia="Arial" w:hAnsi="Arial"/>
          <w:sz w:val="18"/>
          <w:szCs w:val="18"/>
          <w:b w:val="1"/>
          <w:bCs w:val="1"/>
          <w:i w:val="1"/>
          <w:iCs w:val="1"/>
          <w:color w:val="auto"/>
        </w:rPr>
        <w:t>CGMP</w:t>
      </w:r>
      <w:r>
        <w:rPr>
          <w:rFonts w:ascii="Arial" w:cs="Arial" w:eastAsia="Arial" w:hAnsi="Arial"/>
          <w:sz w:val="18"/>
          <w:szCs w:val="18"/>
          <w:color w:val="auto"/>
        </w:rPr>
        <w:t>”) in sufficient quantities to meet current and potential demand;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costs relating to compliance with regulatory requirements, including those arising from our clinical trials, pursuit of Investigational New Drug applications and BLAs, and CGMP compliance;</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timing, and scope of possible regulatory approval and commercial launch of our late-stage product candidates and new indications for our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other third-party coverage and reimbursement for our existing and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intellectual property rights in our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procure sufficient supplies of human tissue to manufacture and process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outcome of pending litigation and investigations;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ongoing and future effects arising from the investigation conducted by the Audit Committee (the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our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that concluded in May 2019 relating to allegations regarding certain sales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practices at the Company and certain other matters (the “</w:t>
      </w:r>
      <w:r>
        <w:rPr>
          <w:rFonts w:ascii="Arial" w:cs="Arial" w:eastAsia="Arial" w:hAnsi="Arial"/>
          <w:sz w:val="18"/>
          <w:szCs w:val="18"/>
          <w:b w:val="1"/>
          <w:bCs w:val="1"/>
          <w:i w:val="1"/>
          <w:iCs w:val="1"/>
          <w:color w:val="auto"/>
        </w:rPr>
        <w:t>Investigation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Audit Committee Investigation</w:t>
      </w:r>
      <w:r>
        <w:rPr>
          <w:rFonts w:ascii="Arial" w:cs="Arial" w:eastAsia="Arial" w:hAnsi="Arial"/>
          <w:sz w:val="18"/>
          <w:szCs w:val="18"/>
          <w:color w:val="auto"/>
        </w:rPr>
        <w:t>”), the restatement of our consolidated financial statements previously filed in our Annual Report for the year ended December 31, 2016, as well as selected unaudited condensed consolidated financial data as of and for the years ended December 31, 2015 (Restated) and 2014 (Restated), which reflected adjustments to our previously filed consolidated financial statements as of and for the years ended December 31, 2015 and 2014 (collectively, the “</w:t>
      </w:r>
      <w:r>
        <w:rPr>
          <w:rFonts w:ascii="Arial" w:cs="Arial" w:eastAsia="Arial" w:hAnsi="Arial"/>
          <w:sz w:val="18"/>
          <w:szCs w:val="18"/>
          <w:b w:val="1"/>
          <w:bCs w:val="1"/>
          <w:i w:val="1"/>
          <w:iCs w:val="1"/>
          <w:color w:val="auto"/>
        </w:rPr>
        <w:t>Restatement</w:t>
      </w:r>
      <w:r>
        <w:rPr>
          <w:rFonts w:ascii="Arial" w:cs="Arial" w:eastAsia="Arial" w:hAnsi="Arial"/>
          <w:sz w:val="18"/>
          <w:szCs w:val="18"/>
          <w:color w:val="auto"/>
        </w:rPr>
        <w:t>”), and related litigation;</w:t>
      </w:r>
    </w:p>
    <w:p>
      <w:pPr>
        <w:spacing w:after="0" w:line="14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and future effects arising from the COVID-19 pandemic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on our business, employees, suppliers and other third parties with whom we do business, and our responses intended to mitigate such effects;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and market trends;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Factors that may cause such a difference include, without limitation, those discussed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year ended December 31, 2021 (our “</w:t>
      </w:r>
      <w:r>
        <w:rPr>
          <w:rFonts w:ascii="Arial" w:cs="Arial" w:eastAsia="Arial" w:hAnsi="Arial"/>
          <w:sz w:val="16"/>
          <w:szCs w:val="16"/>
          <w:b w:val="1"/>
          <w:bCs w:val="1"/>
          <w:i w:val="1"/>
          <w:iCs w:val="1"/>
          <w:color w:val="auto"/>
        </w:rPr>
        <w:t>2021 Form 10-K</w:t>
      </w:r>
      <w:r>
        <w:rPr>
          <w:rFonts w:ascii="Arial" w:cs="Arial" w:eastAsia="Arial" w:hAnsi="Arial"/>
          <w:sz w:val="16"/>
          <w:szCs w:val="16"/>
          <w:color w:val="auto"/>
        </w:rPr>
        <w:t>”), filed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February 28, 2022.</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speak only as of the date of the filing of this Quarterly Report with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Projections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Quarterly Report includes certain estimates, projections and other statistical data. These estimates and projections reflect management’s best estimates based upon currently available information and certain assumptions we believe to be reasonable as of the date of this Quarterly Report.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6"/>
              </w:rPr>
              <w:t>MIMEDX GROUP, INC. AND SUBSIDIARIES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color w:val="auto"/>
                <w:w w:val="95"/>
              </w:rPr>
              <w:t>CONDENSED CONSOLIDATED BALANCE SHEETS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88"/>
              </w:rPr>
              <w:t>(in thousands, except share data)</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2"/>
              </w:rPr>
              <w:t>(unaudited)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7"/>
                <w:szCs w:val="17"/>
                <w:color w:val="auto"/>
              </w:rPr>
            </w:pP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87,083</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40,353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148,523</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187,929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CONVERTIBLE PREFERRED STOCK, AND STOCKHOLDERS’ (DEFICIT)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42,357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 term debt,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48,127</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Convertible preferred stock Series B; $0.001 par value; 100,000 shares authorized, issued and outstanding at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92,494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 and December 31, 2021</w:t>
            </w:r>
          </w:p>
        </w:tc>
        <w:tc>
          <w:tcPr>
            <w:tcW w:w="3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Preferred stock Series A; $0.001 par value; 5,000,000 shares authorized, 0 issued and outstanding at June 30,</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and December 31, 2021</w:t>
            </w:r>
          </w:p>
        </w:tc>
        <w:tc>
          <w:tcPr>
            <w:tcW w:w="30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140"/>
              <w:spacing w:after="0" w:line="176" w:lineRule="exact"/>
              <w:rPr>
                <w:sz w:val="20"/>
                <w:szCs w:val="20"/>
                <w:color w:val="auto"/>
              </w:rPr>
            </w:pPr>
            <w:r>
              <w:rPr>
                <w:rFonts w:ascii="Arial" w:cs="Arial" w:eastAsia="Arial" w:hAnsi="Arial"/>
                <w:sz w:val="18"/>
                <w:szCs w:val="18"/>
                <w:color w:val="auto"/>
                <w:w w:val="95"/>
              </w:rPr>
              <w:t>Common stock; $0.001 par value; 187,500,000 shares authorized; 113,609,274 issued and 113,608,271</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w w:val="93"/>
              </w:rPr>
              <w:t>outstanding at June 30, 2022 and 112,703,926 issued and 111,925,216 outstanding at December 31, 2021</w:t>
            </w: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165,695</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Treasury stock at cost; 1,003 shares at June 30, 2022 and 778,710 shares at December 31, 2021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(161,709)</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187,929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0"/>
                <w:szCs w:val="20"/>
                <w:color w:val="auto"/>
              </w:rPr>
            </w:pPr>
          </w:p>
        </w:tc>
        <w:tc>
          <w:tcPr>
            <w:tcW w:w="2600" w:type="dxa"/>
            <w:vAlign w:val="bottom"/>
            <w:gridSpan w:val="4"/>
          </w:tcPr>
          <w:p>
            <w:pPr>
              <w:jc w:val="right"/>
              <w:ind w:right="350"/>
              <w:spacing w:after="0"/>
              <w:rPr>
                <w:sz w:val="20"/>
                <w:szCs w:val="20"/>
                <w:color w:val="auto"/>
              </w:rPr>
            </w:pPr>
            <w:r>
              <w:rPr>
                <w:rFonts w:ascii="Arial" w:cs="Arial" w:eastAsia="Arial" w:hAnsi="Arial"/>
                <w:sz w:val="18"/>
                <w:szCs w:val="18"/>
                <w:color w:val="auto"/>
                <w:w w:val="97"/>
              </w:rPr>
              <w:t>Six Months Ended June 30,</w:t>
            </w:r>
          </w:p>
        </w:tc>
      </w:tr>
      <w:tr>
        <w:trPr>
          <w:trHeight w:val="223"/>
        </w:trPr>
        <w:tc>
          <w:tcPr>
            <w:tcW w:w="5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50"/>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128,132</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22,401</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105,731</w:t>
            </w:r>
          </w:p>
        </w:tc>
      </w:tr>
      <w:tr>
        <w:trPr>
          <w:trHeight w:val="270"/>
        </w:trPr>
        <w:tc>
          <w:tcPr>
            <w:tcW w:w="5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99,003</w:t>
            </w: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Investigation, restatement and related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(7,262)</w:t>
            </w:r>
          </w:p>
        </w:tc>
      </w:tr>
      <w:tr>
        <w:trPr>
          <w:trHeight w:val="270"/>
        </w:trPr>
        <w:tc>
          <w:tcPr>
            <w:tcW w:w="5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provision</w:t>
            </w: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(expense) benefit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 (Note 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 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loss per common share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56"/>
        </w:trPr>
        <w:tc>
          <w:tcPr>
            <w:tcW w:w="52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112,867,912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110,276,636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112,245,334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109,841,428</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112,867,912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110,276,636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112,245,334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109,841,428</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 w:name="page8"/>
    <w:bookmarkEnd w:id="7"/>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STOCKHOLDERS’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Balance at March 31, 2022 Share-based compensation expense Exercise of stock options Issuance of restricted stock Restricted stock canceled/forfeited Net loss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7"/>
                <w:szCs w:val="17"/>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1360" w:type="dxa"/>
            <w:vAlign w:val="bottom"/>
          </w:tcPr>
          <w:p>
            <w:pPr>
              <w:jc w:val="right"/>
              <w:spacing w:after="0"/>
              <w:rPr>
                <w:sz w:val="20"/>
                <w:szCs w:val="20"/>
                <w:color w:val="auto"/>
              </w:rPr>
            </w:pPr>
            <w:r>
              <w:rPr>
                <w:rFonts w:ascii="Arial" w:cs="Arial" w:eastAsia="Arial" w:hAnsi="Arial"/>
                <w:sz w:val="18"/>
                <w:szCs w:val="18"/>
                <w:color w:val="auto"/>
              </w:rPr>
              <w:t>113,525,178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165,490</w:t>
            </w:r>
          </w:p>
        </w:tc>
        <w:tc>
          <w:tcPr>
            <w:tcW w:w="1240" w:type="dxa"/>
            <w:vAlign w:val="bottom"/>
          </w:tcPr>
          <w:p>
            <w:pPr>
              <w:jc w:val="right"/>
              <w:spacing w:after="0"/>
              <w:rPr>
                <w:sz w:val="20"/>
                <w:szCs w:val="20"/>
                <w:color w:val="auto"/>
              </w:rPr>
            </w:pPr>
            <w:r>
              <w:rPr>
                <w:rFonts w:ascii="Arial" w:cs="Arial" w:eastAsia="Arial" w:hAnsi="Arial"/>
                <w:sz w:val="18"/>
                <w:szCs w:val="18"/>
                <w:color w:val="auto"/>
              </w:rPr>
              <w:t>172,768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(172,198)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84,096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1240" w:type="dxa"/>
            <w:vAlign w:val="bottom"/>
          </w:tcPr>
          <w:p>
            <w:pPr>
              <w:jc w:val="right"/>
              <w:spacing w:after="0"/>
              <w:rPr>
                <w:sz w:val="20"/>
                <w:szCs w:val="20"/>
                <w:color w:val="auto"/>
              </w:rPr>
            </w:pPr>
            <w:r>
              <w:rPr>
                <w:rFonts w:ascii="Arial" w:cs="Arial" w:eastAsia="Arial" w:hAnsi="Arial"/>
                <w:sz w:val="18"/>
                <w:szCs w:val="18"/>
                <w:color w:val="auto"/>
              </w:rPr>
              <w:t>(25,904)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tcPr>
          <w:p>
            <w:pPr>
              <w:jc w:val="right"/>
              <w:spacing w:after="0"/>
              <w:rPr>
                <w:sz w:val="20"/>
                <w:szCs w:val="20"/>
                <w:color w:val="auto"/>
              </w:rPr>
            </w:pPr>
            <w:r>
              <w:rPr>
                <w:rFonts w:ascii="Arial" w:cs="Arial" w:eastAsia="Arial" w:hAnsi="Arial"/>
                <w:sz w:val="18"/>
                <w:szCs w:val="18"/>
                <w:color w:val="auto"/>
              </w:rPr>
              <w:t>(148,696)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40" w:type="dxa"/>
            <w:vAlign w:val="bottom"/>
          </w:tcPr>
          <w:p>
            <w:pPr>
              <w:jc w:val="right"/>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113,609,274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169,352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(183,066)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-1071245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-770890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-479425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360"/>
            <w:col w:w="8300"/>
          </w:cols>
          <w:pgMar w:left="320" w:top="1440"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460" w:type="dxa"/>
            <w:vAlign w:val="bottom"/>
            <w:gridSpan w:val="3"/>
            <w:vMerge w:val="restart"/>
          </w:tcPr>
          <w:p>
            <w:pPr>
              <w:jc w:val="right"/>
              <w:ind w:right="33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19"/>
                <w:szCs w:val="19"/>
                <w:color w:val="auto"/>
              </w:rPr>
            </w:pPr>
          </w:p>
        </w:tc>
        <w:tc>
          <w:tcPr>
            <w:tcW w:w="246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Deemed dividends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1240" w:type="dxa"/>
            <w:vAlign w:val="bottom"/>
          </w:tcPr>
          <w:p>
            <w:pPr>
              <w:jc w:val="right"/>
              <w:spacing w:after="0"/>
              <w:rPr>
                <w:sz w:val="20"/>
                <w:szCs w:val="20"/>
                <w:color w:val="auto"/>
              </w:rPr>
            </w:pPr>
            <w:r>
              <w:rPr>
                <w:rFonts w:ascii="Arial" w:cs="Arial" w:eastAsia="Arial" w:hAnsi="Arial"/>
                <w:sz w:val="18"/>
                <w:szCs w:val="18"/>
                <w:color w:val="auto"/>
              </w:rPr>
              <w:t>(141,516)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Restricted stock shares</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12,437</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canceled/forfeited</w:t>
            </w:r>
          </w:p>
        </w:tc>
        <w:tc>
          <w:tcPr>
            <w:tcW w:w="1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Shares repurchased for tax withholding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(239,502)</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line="270" w:lineRule="auto"/>
        <w:rPr>
          <w:sz w:val="20"/>
          <w:szCs w:val="20"/>
          <w:color w:val="auto"/>
        </w:rPr>
      </w:pPr>
      <w:r>
        <w:rPr>
          <w:rFonts w:ascii="Arial" w:cs="Arial" w:eastAsia="Arial" w:hAnsi="Arial"/>
          <w:sz w:val="18"/>
          <w:szCs w:val="18"/>
          <w:color w:val="auto"/>
        </w:rPr>
        <w:t>Balance at December 31, 2021 Share-based compensation expense Exercise of stock options Issuance of restricted stock Restricted stock canceled/forfeited Shares repurchased for tax withholding Net loss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8"/>
                <w:szCs w:val="18"/>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2"/>
        </w:trPr>
        <w:tc>
          <w:tcPr>
            <w:tcW w:w="1360" w:type="dxa"/>
            <w:vAlign w:val="bottom"/>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165,695</w:t>
            </w:r>
          </w:p>
        </w:tc>
        <w:tc>
          <w:tcPr>
            <w:tcW w:w="1240" w:type="dxa"/>
            <w:vAlign w:val="bottom"/>
          </w:tcPr>
          <w:p>
            <w:pPr>
              <w:jc w:val="right"/>
              <w:spacing w:after="0"/>
              <w:rPr>
                <w:sz w:val="20"/>
                <w:szCs w:val="20"/>
                <w:color w:val="auto"/>
              </w:rPr>
            </w:pPr>
            <w:r>
              <w:rPr>
                <w:rFonts w:ascii="Arial" w:cs="Arial" w:eastAsia="Arial" w:hAnsi="Arial"/>
                <w:sz w:val="18"/>
                <w:szCs w:val="18"/>
                <w:color w:val="auto"/>
              </w:rPr>
              <w:t>778,710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(161,709)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84,096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w:t>
            </w:r>
          </w:p>
        </w:tc>
        <w:tc>
          <w:tcPr>
            <w:tcW w:w="1240" w:type="dxa"/>
            <w:vAlign w:val="bottom"/>
          </w:tcPr>
          <w:p>
            <w:pPr>
              <w:jc w:val="right"/>
              <w:spacing w:after="0"/>
              <w:rPr>
                <w:sz w:val="20"/>
                <w:szCs w:val="20"/>
                <w:color w:val="auto"/>
              </w:rPr>
            </w:pPr>
            <w:r>
              <w:rPr>
                <w:rFonts w:ascii="Arial" w:cs="Arial" w:eastAsia="Arial" w:hAnsi="Arial"/>
                <w:sz w:val="18"/>
                <w:szCs w:val="18"/>
                <w:color w:val="auto"/>
              </w:rPr>
              <w:t>(150,238)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821,252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(3,960)</w:t>
            </w:r>
          </w:p>
        </w:tc>
        <w:tc>
          <w:tcPr>
            <w:tcW w:w="1240" w:type="dxa"/>
            <w:vAlign w:val="bottom"/>
          </w:tcPr>
          <w:p>
            <w:pPr>
              <w:jc w:val="right"/>
              <w:spacing w:after="0"/>
              <w:rPr>
                <w:sz w:val="20"/>
                <w:szCs w:val="20"/>
                <w:color w:val="auto"/>
              </w:rPr>
            </w:pPr>
            <w:r>
              <w:rPr>
                <w:rFonts w:ascii="Arial" w:cs="Arial" w:eastAsia="Arial" w:hAnsi="Arial"/>
                <w:sz w:val="18"/>
                <w:szCs w:val="18"/>
                <w:color w:val="auto"/>
              </w:rPr>
              <w:t>(880,749)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40" w:type="dxa"/>
            <w:vAlign w:val="bottom"/>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249,778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(21,357)</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113,609,274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169,352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(183,066)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-1216660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-916940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-624840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-334010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80"/>
            <w:col w:w="8300"/>
          </w:cols>
          <w:pgMar w:left="320" w:top="1440"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4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4"/>
              </w:rPr>
              <w:t>Additional Paid</w:t>
            </w:r>
          </w:p>
        </w:tc>
        <w:tc>
          <w:tcPr>
            <w:tcW w:w="2180" w:type="dxa"/>
            <w:vAlign w:val="bottom"/>
            <w:gridSpan w:val="3"/>
            <w:vMerge w:val="restart"/>
          </w:tcPr>
          <w:p>
            <w:pPr>
              <w:jc w:val="right"/>
              <w:ind w:right="45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7"/>
                <w:szCs w:val="17"/>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19"/>
                <w:szCs w:val="19"/>
                <w:color w:val="auto"/>
              </w:rPr>
            </w:pPr>
          </w:p>
        </w:tc>
        <w:tc>
          <w:tcPr>
            <w:tcW w:w="2440" w:type="dxa"/>
            <w:vAlign w:val="bottom"/>
            <w:tcBorders>
              <w:bottom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rPr>
              <w:t>- in</w:t>
            </w:r>
          </w:p>
        </w:tc>
        <w:tc>
          <w:tcPr>
            <w:tcW w:w="218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Amount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Capital</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Deemed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Share-based compensation expense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240" w:type="dxa"/>
            <w:vAlign w:val="bottom"/>
          </w:tcPr>
          <w:p>
            <w:pPr>
              <w:jc w:val="right"/>
              <w:spacing w:after="0"/>
              <w:rPr>
                <w:sz w:val="20"/>
                <w:szCs w:val="20"/>
                <w:color w:val="auto"/>
              </w:rPr>
            </w:pPr>
            <w:r>
              <w:rPr>
                <w:rFonts w:ascii="Arial" w:cs="Arial" w:eastAsia="Arial" w:hAnsi="Arial"/>
                <w:sz w:val="18"/>
                <w:szCs w:val="18"/>
                <w:color w:val="auto"/>
              </w:rPr>
              <w:t>(452,329)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Restricted stock canceled/forfeited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240" w:type="dxa"/>
            <w:vAlign w:val="bottom"/>
          </w:tcPr>
          <w:p>
            <w:pPr>
              <w:jc w:val="right"/>
              <w:spacing w:after="0"/>
              <w:rPr>
                <w:sz w:val="20"/>
                <w:szCs w:val="20"/>
                <w:color w:val="auto"/>
              </w:rPr>
            </w:pPr>
            <w:r>
              <w:rPr>
                <w:rFonts w:ascii="Arial" w:cs="Arial" w:eastAsia="Arial" w:hAnsi="Arial"/>
                <w:sz w:val="18"/>
                <w:szCs w:val="18"/>
                <w:color w:val="auto"/>
              </w:rPr>
              <w:t>48,026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Shares repurchased for tax withholding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453,885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(239,502)</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112,703,926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MIMEDX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23"/>
        </w:trPr>
        <w:tc>
          <w:tcPr>
            <w:tcW w:w="7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2,467</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Non-cash lease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(Gain) loss on fixed asset disposal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resulting from changes in: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29"/>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29"/>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2,790</w:t>
            </w:r>
          </w:p>
        </w:tc>
      </w:tr>
      <w:tr>
        <w:trPr>
          <w:trHeight w:val="229"/>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(13,752)</w:t>
            </w:r>
          </w:p>
        </w:tc>
      </w:tr>
      <w:tr>
        <w:trPr>
          <w:trHeight w:val="23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196"/>
        </w:trPr>
        <w:tc>
          <w:tcPr>
            <w:tcW w:w="7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Purchases of equipment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(2,346)</w:t>
            </w: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 application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Principal payments from note receivable</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r>
      <w:tr>
        <w:trPr>
          <w:trHeight w:val="196"/>
        </w:trPr>
        <w:tc>
          <w:tcPr>
            <w:tcW w:w="7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repurchased for tax withholdings on vesting of restricted stock</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finance lease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r>
      <w:tr>
        <w:trPr>
          <w:trHeight w:val="196"/>
        </w:trPr>
        <w:tc>
          <w:tcPr>
            <w:tcW w:w="7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(10,805)</w:t>
            </w:r>
          </w:p>
        </w:tc>
      </w:tr>
      <w:tr>
        <w:trPr>
          <w:trHeight w:val="216"/>
        </w:trPr>
        <w:tc>
          <w:tcPr>
            <w:tcW w:w="7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95,812</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MIMEDX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39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MiMedx Group, Inc. (together with its subsidiaries, except where the context otherwise requires, “</w:t>
      </w:r>
      <w:r>
        <w:rPr>
          <w:rFonts w:ascii="Arial" w:cs="Arial" w:eastAsia="Arial" w:hAnsi="Arial"/>
          <w:sz w:val="17"/>
          <w:szCs w:val="17"/>
          <w:b w:val="1"/>
          <w:bCs w:val="1"/>
          <w:i w:val="1"/>
          <w:iCs w:val="1"/>
          <w:color w:val="auto"/>
        </w:rPr>
        <w:t>MIMEDX</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a transformational placental biologics company, developing and distributing placental tissue allografts with patent-protected, proprietary processes for multiple sectors of healthcare. As a pioneer in placental biologics, the Company is focused on addressing unmet clinical needs in the areas of advanced wound care, surgical recovery applications, and musculoskeletal conditions. The Company derives its products from human placental tissues and processes these tissues using its proprietary methods, including the PURION® process. The Company applies Current Good Tissue Practices, Current Good Manufacturing Practices, and terminal sterilization to produce its allografts. MIMEDX provides products primarily in the wound care, burn, and surgical recovery sectors of healthcare. All of its products are regulated by the U.S. Food &amp;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w:t>
      </w:r>
    </w:p>
    <w:p>
      <w:pPr>
        <w:spacing w:after="0" w:line="150" w:lineRule="exact"/>
        <w:rPr>
          <w:sz w:val="20"/>
          <w:szCs w:val="20"/>
          <w:color w:val="auto"/>
        </w:rPr>
      </w:pPr>
    </w:p>
    <w:p>
      <w:pPr>
        <w:ind w:right="600"/>
        <w:spacing w:after="0" w:line="453" w:lineRule="auto"/>
        <w:rPr>
          <w:sz w:val="20"/>
          <w:szCs w:val="20"/>
          <w:color w:val="auto"/>
        </w:rPr>
      </w:pPr>
      <w:r>
        <w:rPr>
          <w:rFonts w:ascii="Arial" w:cs="Arial" w:eastAsia="Arial" w:hAnsi="Arial"/>
          <w:sz w:val="18"/>
          <w:szCs w:val="18"/>
          <w:color w:val="auto"/>
        </w:rPr>
        <w:t xml:space="preserve">The Company’s business is currently focused primarily on the United States but the Company is pursuing opportunities for international expansion. </w:t>
      </w:r>
      <w:r>
        <w:rPr>
          <w:rFonts w:ascii="Arial" w:cs="Arial" w:eastAsia="Arial" w:hAnsi="Arial"/>
          <w:sz w:val="18"/>
          <w:szCs w:val="18"/>
          <w:b w:val="1"/>
          <w:bCs w:val="1"/>
          <w:i w:val="1"/>
          <w:iCs w:val="1"/>
          <w:color w:val="auto"/>
        </w:rPr>
        <w:t>Enforcement Discretion</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w:t>
      </w:r>
      <w:r>
        <w:rPr>
          <w:rFonts w:ascii="Arial" w:cs="Arial" w:eastAsia="Arial" w:hAnsi="Arial"/>
          <w:sz w:val="16"/>
          <w:szCs w:val="16"/>
          <w:b w:val="1"/>
          <w:bCs w:val="1"/>
          <w:i w:val="1"/>
          <w:iCs w:val="1"/>
          <w:color w:val="auto"/>
        </w:rPr>
        <w:t>Section 361</w:t>
      </w:r>
      <w:r>
        <w:rPr>
          <w:rFonts w:ascii="Arial" w:cs="Arial" w:eastAsia="Arial" w:hAnsi="Arial"/>
          <w:sz w:val="16"/>
          <w:szCs w:val="16"/>
          <w:color w:val="auto"/>
        </w:rPr>
        <w:t>”) from those considered to be drugs, devices, and/or biological products subject to licensure under Section 351 of the Public Health Service Act and related regulations. The Company identified its micronized and particulate products (collectively, the “</w:t>
      </w:r>
      <w:r>
        <w:rPr>
          <w:rFonts w:ascii="Arial" w:cs="Arial" w:eastAsia="Arial" w:hAnsi="Arial"/>
          <w:sz w:val="16"/>
          <w:szCs w:val="16"/>
          <w:b w:val="1"/>
          <w:bCs w:val="1"/>
          <w:i w:val="1"/>
          <w:iCs w:val="1"/>
          <w:color w:val="auto"/>
        </w:rPr>
        <w:t>Section 351 Products</w:t>
      </w:r>
      <w:r>
        <w:rPr>
          <w:rFonts w:ascii="Arial" w:cs="Arial" w:eastAsia="Arial" w:hAnsi="Arial"/>
          <w:sz w:val="16"/>
          <w:szCs w:val="16"/>
          <w:color w:val="auto"/>
        </w:rPr>
        <w:t>”) as being subject to regulation under Section 351, requiring pre-market approval from the FDA for a specified indication with demonstrated clinical efficacy.</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exercised enforcement discretion with respect to Investigational New Drug (“</w:t>
      </w:r>
      <w:r>
        <w:rPr>
          <w:rFonts w:ascii="Arial" w:cs="Arial" w:eastAsia="Arial" w:hAnsi="Arial"/>
          <w:sz w:val="18"/>
          <w:szCs w:val="18"/>
          <w:b w:val="1"/>
          <w:bCs w:val="1"/>
          <w:i w:val="1"/>
          <w:iCs w:val="1"/>
          <w:color w:val="auto"/>
        </w:rPr>
        <w:t>IND</w:t>
      </w:r>
      <w:r>
        <w:rPr>
          <w:rFonts w:ascii="Arial" w:cs="Arial" w:eastAsia="Arial" w:hAnsi="Arial"/>
          <w:sz w:val="18"/>
          <w:szCs w:val="18"/>
          <w:color w:val="auto"/>
        </w:rPr>
        <w:t>”) applications and pre-market approval requirements through May 31, 2021. As of May 31, 2021, the Company stopped marketing its Section 351 Products in the United States and is precluded from marketing such products until a Biologics License Application (“</w:t>
      </w:r>
      <w:r>
        <w:rPr>
          <w:rFonts w:ascii="Arial" w:cs="Arial" w:eastAsia="Arial" w:hAnsi="Arial"/>
          <w:sz w:val="18"/>
          <w:szCs w:val="18"/>
          <w:b w:val="1"/>
          <w:bCs w:val="1"/>
          <w:i w:val="1"/>
          <w:iCs w:val="1"/>
          <w:color w:val="auto"/>
        </w:rPr>
        <w:t>BLA</w:t>
      </w:r>
      <w:r>
        <w:rPr>
          <w:rFonts w:ascii="Arial" w:cs="Arial" w:eastAsia="Arial" w:hAnsi="Arial"/>
          <w:sz w:val="18"/>
          <w:szCs w:val="18"/>
          <w:color w:val="auto"/>
        </w:rPr>
        <w:t>”) is granted. If and when the FDA approves a BLA, the Company expects to be allowed to market its Section 351 Products in the United States again, but only for specific indications as permitted by the FDA. Sales of the Company’s Section 351 Products were $0.6 million and $8.6 million for the three months ended June 30, 2022 and 2021, respectively, and $1.0 million and $16.7 million for the six months ended June 30, 2022 and 2021, respectively. Sales of Section 351 Products during the three and six months ended June 30, 2022 were derived from sales outside the United States.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currently markets EPICORD® and AMNIOCORD® tissue products derived from human umbilical cord as providing a protective environment or as a barrier. If the FDA were to determine that EPICORD and AMNIOCORD do not meet the requirements for regulation solely under Section 361, then pre-market clearance or approval would be required. The loss of the Company’s ability to market and sell its umbilical cord-derived products would have an adverse effect on the Company’s revenue, business, financial condition, and results of operations. Net sales of the Company’s umbilical cord-derived products were $5.9 million for each of the three months ended June 30, 2022 and 2021 and $11.5 million and $10.8 million for the six months ended June 30, 2022 and 2021, respectively. The Company’s cord inventory, which would be at risk for write-down in the case of such a determination by the FDA, was $2.4 million and $1.9 million as of June 30, 2022 and December 31, 2021, respectively.</w:t>
      </w:r>
    </w:p>
    <w:p>
      <w:pPr>
        <w:spacing w:after="0" w:line="1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Note 2 to the Company’s Consolidated Financial Statements included in the Company’s Annual Report on Form 10-K for the year ended December 31, 2021 (the “</w:t>
      </w:r>
      <w:r>
        <w:rPr>
          <w:rFonts w:ascii="Arial" w:cs="Arial" w:eastAsia="Arial" w:hAnsi="Arial"/>
          <w:sz w:val="18"/>
          <w:szCs w:val="18"/>
          <w:b w:val="1"/>
          <w:bCs w:val="1"/>
          <w:i w:val="1"/>
          <w:iCs w:val="1"/>
          <w:color w:val="auto"/>
        </w:rPr>
        <w:t>2021 Form 10-K</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February 28, 2022 for a description of all significant accounting policies.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have been prepared in accordance with accounting principles generally accepted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for interim financial information and with the instructions to Form 10-Q and Article 10 of Regulation S-X. Accordingly, they do not include all of the information and footnotes required by GAAP for complete financial statements. In the opinion of management, all adjustments considered necessary for a fair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presentation of the results of operations for the periods presented have been included. The operating results for the three and six months ended June 30, 2022 and 2021 are not necessarily indicative of the results that may be expected for the full fiscal year. The balance sheet as of December 31, 2021 was derived from the audited consolidated financial statements at that date, but does not include all of the information and footnotes required by GAAP for complete financial statements.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historical consolidated financial statements of the Company included in the 2021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GAAP. Conformity with GAAP requires management to make estimates and assumptions that affect the reported amounts of assets and liabilities and disclosure of contingent assets and liabilities at the date of the unaudited condensed consolidated financial statements and the reported unaudited condensed consolidated statements of operations during the reporting period. Actual results could differ from those estimates. Significant estimates include estimated useful lives and potential impairment of property and equipment and intangible assets, estimates regarding asset retirement obligations, estimates for contingent liabilities, the measurement of right of use assets and lease liabilities, management’s assessment of the Company’s ability to continue as a going concern, estimates of fair value of share-based payments, estimate for allowance for doubtful accounts, estimates of sales returns and allowances, and valuation of deferred tax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MiMedx Group, Inc. and its wholly-owned subsidiaries. All intercompany balances and transactions have been eliminated upon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Financial Accounting Standards Board (“</w:t>
      </w:r>
      <w:r>
        <w:rPr>
          <w:rFonts w:ascii="Arial" w:cs="Arial" w:eastAsia="Arial" w:hAnsi="Arial"/>
          <w:sz w:val="18"/>
          <w:szCs w:val="18"/>
          <w:b w:val="1"/>
          <w:bCs w:val="1"/>
          <w:i w:val="1"/>
          <w:i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i w:val="1"/>
          <w:iCs w:val="1"/>
          <w:color w:val="auto"/>
        </w:rPr>
        <w:t>ASU</w:t>
      </w:r>
      <w:r>
        <w:rPr>
          <w:rFonts w:ascii="Arial" w:cs="Arial" w:eastAsia="Arial" w:hAnsi="Arial"/>
          <w:sz w:val="18"/>
          <w:szCs w:val="18"/>
          <w:color w:val="auto"/>
        </w:rPr>
        <w:t>”) 2021-10, “</w:t>
      </w:r>
      <w:r>
        <w:rPr>
          <w:rFonts w:ascii="Arial" w:cs="Arial" w:eastAsia="Arial" w:hAnsi="Arial"/>
          <w:sz w:val="18"/>
          <w:szCs w:val="18"/>
          <w:i w:val="1"/>
          <w:iCs w:val="1"/>
          <w:color w:val="auto"/>
        </w:rPr>
        <w:t>Government Assistance</w:t>
      </w:r>
      <w:r>
        <w:rPr>
          <w:rFonts w:ascii="Arial" w:cs="Arial" w:eastAsia="Arial" w:hAnsi="Arial"/>
          <w:sz w:val="18"/>
          <w:szCs w:val="18"/>
          <w:color w:val="auto"/>
        </w:rPr>
        <w:t xml:space="preserve"> </w:t>
      </w:r>
      <w:r>
        <w:rPr>
          <w:rFonts w:ascii="Arial" w:cs="Arial" w:eastAsia="Arial" w:hAnsi="Arial"/>
          <w:sz w:val="18"/>
          <w:szCs w:val="18"/>
          <w:i w:val="1"/>
          <w:iCs w:val="1"/>
          <w:color w:val="auto"/>
        </w:rPr>
        <w:t>(Topic 832)”</w:t>
      </w:r>
      <w:r>
        <w:rPr>
          <w:rFonts w:ascii="Arial" w:cs="Arial" w:eastAsia="Arial" w:hAnsi="Arial"/>
          <w:sz w:val="18"/>
          <w:szCs w:val="18"/>
          <w:color w:val="auto"/>
        </w:rPr>
        <w:t>, which provides disclosure requirements regarding government grants and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requires disclosure of the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and related accounting policies used to account for transactions, the effect, including amounts, of government assistance on individual line items on the financial statements, and significant terms and conditions of the transactions, including commitments and contingencies. This ASU is effective for fiscal years beginning after December 15, 2021. The Company adopted the provisions of this ASU effective January 1, 2022. There was no impact upon adoption.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ASUs issued and not yet effective for the three and six months ended June 30, 2022, and through the date of this report, were assessed and determined to be either not applicable or are expected to have minimal impact on the Company’s financial position or results of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3. Accounts Receivable, Net</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5"/>
        </w:trPr>
        <w:tc>
          <w:tcPr>
            <w:tcW w:w="7140" w:type="dxa"/>
            <w:vAlign w:val="bottom"/>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2022</w:t>
            </w:r>
          </w:p>
        </w:tc>
        <w:tc>
          <w:tcPr>
            <w:tcW w:w="18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41,132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41,540</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1"/>
              </w:rPr>
              <w:t>(3,471)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(1,187)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37,661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8"/>
              </w:rPr>
              <w:t>40,353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Bad debt expense, included in selling, general and administrative expense on the condensed consolidated statements of operations, for the three and six months ended June 30, 2022 were $2.2 million and $2.4 million, respectively. Bad debt expense for the three and six months ended June 30, 2021 was not significant in either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4.   Inventory</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1"/>
        </w:trPr>
        <w:tc>
          <w:tcPr>
            <w:tcW w:w="7140" w:type="dxa"/>
            <w:vAlign w:val="bottom"/>
          </w:tcPr>
          <w:p>
            <w:pPr>
              <w:spacing w:after="0"/>
              <w:rPr>
                <w:sz w:val="20"/>
                <w:szCs w:val="20"/>
                <w:color w:val="auto"/>
              </w:rPr>
            </w:pPr>
            <w:r>
              <w:rPr>
                <w:rFonts w:ascii="Arial" w:cs="Arial" w:eastAsia="Arial" w:hAnsi="Arial"/>
                <w:sz w:val="18"/>
                <w:szCs w:val="18"/>
                <w:color w:val="auto"/>
              </w:rPr>
              <w:t>Inventory consisted of the following (in thousands):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2022</w:t>
            </w:r>
          </w:p>
        </w:tc>
        <w:tc>
          <w:tcPr>
            <w:tcW w:w="180" w:type="dxa"/>
            <w:vAlign w:val="bottom"/>
          </w:tcPr>
          <w:p>
            <w:pPr>
              <w:spacing w:after="0"/>
              <w:rPr>
                <w:sz w:val="22"/>
                <w:szCs w:val="22"/>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6,112</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a result of the conclusion of the FDA’s period of Enforcement Discretion on May 31, 2021, the Company wrote-off $1.0 million of its Section 351 product inventory during the three and six months ended June 30, 2021. This amount is included as part of cost of sales on the unaudited condensed consolidated statements of operations for those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1"/>
        </w:trPr>
        <w:tc>
          <w:tcPr>
            <w:tcW w:w="702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2022</w:t>
            </w:r>
          </w:p>
        </w:tc>
        <w:tc>
          <w:tcPr>
            <w:tcW w:w="22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2021</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Laboratory and clean room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16,567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cost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right-of-use asset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and six months ended June 30, 2022 and 2021 is summarized in the table below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Three Months Ended 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color w:val="auto"/>
              </w:rPr>
              <w:t>Six Months Ended June 30,</w:t>
            </w:r>
          </w:p>
        </w:tc>
      </w:tr>
      <w:tr>
        <w:trPr>
          <w:trHeight w:val="223"/>
        </w:trPr>
        <w:tc>
          <w:tcPr>
            <w:tcW w:w="24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r>
      <w:tr>
        <w:trPr>
          <w:trHeight w:val="223"/>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is allocated amongst cost of sales, research and development expense, and selling, general, and administrative expense on the unaudited condensed consolidated statements of operations.</w:t>
      </w:r>
    </w:p>
    <w:p>
      <w:pPr>
        <w:spacing w:after="0" w:line="11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are summarized as follows (in thousands):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2022</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9"/>
              </w:rPr>
              <w:t>December 31, 2021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8"/>
                <w:szCs w:val="18"/>
                <w:color w:val="auto"/>
              </w:rPr>
              <w:t>Net Carrying</w:t>
            </w:r>
          </w:p>
        </w:tc>
        <w:tc>
          <w:tcPr>
            <w:tcW w:w="120" w:type="dxa"/>
            <w:vAlign w:val="bottom"/>
          </w:tcPr>
          <w:p>
            <w:pPr>
              <w:spacing w:after="0"/>
              <w:rPr>
                <w:sz w:val="14"/>
                <w:szCs w:val="14"/>
                <w:color w:val="auto"/>
              </w:rPr>
            </w:pPr>
          </w:p>
        </w:tc>
        <w:tc>
          <w:tcPr>
            <w:tcW w:w="80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color w:val="auto"/>
                <w:w w:val="92"/>
              </w:rPr>
              <w:t>Accumulated</w:t>
            </w:r>
          </w:p>
        </w:tc>
        <w:tc>
          <w:tcPr>
            <w:tcW w:w="9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Net Carrying</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4"/>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5"/>
              </w:rPr>
              <w:t>Amortization</w:t>
            </w:r>
          </w:p>
        </w:tc>
        <w:tc>
          <w:tcPr>
            <w:tcW w:w="14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Patents and know-how</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9,578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(6,408)</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Unamortized intangible assets: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Tradenames and trademarks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Patents in Process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Amortization expense for the three and six months ended June 30, 2022 and 2021 is summarized in the table below (in thousands):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Six Months Ended June 30,</w:t>
            </w:r>
          </w:p>
        </w:tc>
      </w:tr>
      <w:tr>
        <w:trPr>
          <w:trHeight w:val="223"/>
        </w:trPr>
        <w:tc>
          <w:tcPr>
            <w:tcW w:w="33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of intangible assets as of June 30, 2022,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175"/>
        </w:trPr>
        <w:tc>
          <w:tcPr>
            <w:tcW w:w="968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Pr>
          <w:p>
            <w:pPr>
              <w:spacing w:after="0"/>
              <w:rPr>
                <w:sz w:val="15"/>
                <w:szCs w:val="15"/>
                <w:color w:val="auto"/>
              </w:rPr>
            </w:pPr>
          </w:p>
        </w:tc>
        <w:tc>
          <w:tcPr>
            <w:tcW w:w="13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5"/>
              </w:rPr>
              <w:t>Amortization</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Expense</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six months ended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594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2022</w:t>
            </w:r>
          </w:p>
        </w:tc>
        <w:tc>
          <w:tcPr>
            <w:tcW w:w="200" w:type="dxa"/>
            <w:vAlign w:val="bottom"/>
          </w:tcPr>
          <w:p>
            <w:pPr>
              <w:spacing w:after="0"/>
              <w:rPr>
                <w:sz w:val="24"/>
                <w:szCs w:val="24"/>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color w:val="auto"/>
                <w:w w:val="92"/>
              </w:rPr>
              <w:t>December 31, 2021</w:t>
            </w:r>
          </w:p>
        </w:tc>
      </w:tr>
      <w:tr>
        <w:trPr>
          <w:trHeight w:val="223"/>
        </w:trPr>
        <w:tc>
          <w:tcPr>
            <w:tcW w:w="1280" w:type="dxa"/>
            <w:vAlign w:val="bottom"/>
          </w:tcPr>
          <w:p>
            <w:pPr>
              <w:spacing w:after="0"/>
              <w:rPr>
                <w:sz w:val="19"/>
                <w:szCs w:val="19"/>
                <w:color w:val="auto"/>
              </w:rPr>
            </w:pPr>
          </w:p>
        </w:tc>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and settlement costs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r>
      <w:tr>
        <w:trPr>
          <w:trHeight w:val="230"/>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Commissions to sales agents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2,630</w:t>
            </w:r>
          </w:p>
        </w:tc>
      </w:tr>
      <w:tr>
        <w:trPr>
          <w:trHeight w:val="229"/>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group purchasing organization fees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Estimated sales returns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travel</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128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Accrued clinical trials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29"/>
        </w:trPr>
        <w:tc>
          <w:tcPr>
            <w:tcW w:w="12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rebates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1280" w:type="dxa"/>
            <w:vAlign w:val="bottom"/>
          </w:tcPr>
          <w:p>
            <w:pPr>
              <w:spacing w:after="0"/>
              <w:rPr>
                <w:sz w:val="19"/>
                <w:szCs w:val="19"/>
                <w:color w:val="auto"/>
              </w:rPr>
            </w:pPr>
          </w:p>
        </w:tc>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48"/>
        </w:trPr>
        <w:tc>
          <w:tcPr>
            <w:tcW w:w="12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r>
      <w:tr>
        <w:trPr>
          <w:trHeight w:val="20"/>
        </w:trPr>
        <w:tc>
          <w:tcPr>
            <w:tcW w:w="128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Long Term Debt,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Hayfin Loan Agreement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the Company entered into a Loan Agreement with, among others, Hayfin Services, LLP (“</w:t>
      </w:r>
      <w:r>
        <w:rPr>
          <w:rFonts w:ascii="Arial" w:cs="Arial" w:eastAsia="Arial" w:hAnsi="Arial"/>
          <w:sz w:val="18"/>
          <w:szCs w:val="18"/>
          <w:b w:val="1"/>
          <w:bCs w:val="1"/>
          <w:i w:val="1"/>
          <w:iCs w:val="1"/>
          <w:color w:val="auto"/>
        </w:rPr>
        <w:t>Hayfin</w:t>
      </w:r>
      <w:r>
        <w:rPr>
          <w:rFonts w:ascii="Arial" w:cs="Arial" w:eastAsia="Arial" w:hAnsi="Arial"/>
          <w:sz w:val="18"/>
          <w:szCs w:val="18"/>
          <w:color w:val="auto"/>
        </w:rPr>
        <w:t>”), an affiliate of Hayfin Capital Management LLP (the “</w:t>
      </w:r>
      <w:r>
        <w:rPr>
          <w:rFonts w:ascii="Arial" w:cs="Arial" w:eastAsia="Arial" w:hAnsi="Arial"/>
          <w:sz w:val="18"/>
          <w:szCs w:val="18"/>
          <w:b w:val="1"/>
          <w:bCs w:val="1"/>
          <w:i w:val="1"/>
          <w:iCs w:val="1"/>
          <w:color w:val="auto"/>
        </w:rPr>
        <w:t>Hayfin Loan Agreement</w:t>
      </w:r>
      <w:r>
        <w:rPr>
          <w:rFonts w:ascii="Arial" w:cs="Arial" w:eastAsia="Arial" w:hAnsi="Arial"/>
          <w:sz w:val="18"/>
          <w:szCs w:val="18"/>
          <w:color w:val="auto"/>
        </w:rPr>
        <w:t>”), which Hayfin funded on July 2, 2020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providing the Company with a senior secured term loan in an aggregate amount of $50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The Term Loan matures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Interest is payable on the Term Loan for the principal balance outstanding quarterly through the Maturity Date. No principal payments on the Term Loan are due and payable until the Maturity Date.</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Hayfin Loan Agreement also provided the Company an option to draw on an additional delayed draw term loan (the “</w:t>
      </w:r>
      <w:r>
        <w:rPr>
          <w:rFonts w:ascii="Arial" w:cs="Arial" w:eastAsia="Arial" w:hAnsi="Arial"/>
          <w:sz w:val="17"/>
          <w:szCs w:val="17"/>
          <w:b w:val="1"/>
          <w:bCs w:val="1"/>
          <w:i w:val="1"/>
          <w:iCs w:val="1"/>
          <w:color w:val="auto"/>
        </w:rPr>
        <w:t>DD TL</w:t>
      </w:r>
      <w:r>
        <w:rPr>
          <w:rFonts w:ascii="Arial" w:cs="Arial" w:eastAsia="Arial" w:hAnsi="Arial"/>
          <w:sz w:val="17"/>
          <w:szCs w:val="17"/>
          <w:color w:val="auto"/>
        </w:rPr>
        <w:t>,” collectively with the Term Loan, the “</w:t>
      </w:r>
      <w:r>
        <w:rPr>
          <w:rFonts w:ascii="Arial" w:cs="Arial" w:eastAsia="Arial" w:hAnsi="Arial"/>
          <w:sz w:val="17"/>
          <w:szCs w:val="17"/>
          <w:b w:val="1"/>
          <w:bCs w:val="1"/>
          <w:i w:val="1"/>
          <w:iCs w:val="1"/>
          <w:color w:val="auto"/>
        </w:rPr>
        <w:t>Credit Facilities</w:t>
      </w:r>
      <w:r>
        <w:rPr>
          <w:rFonts w:ascii="Arial" w:cs="Arial" w:eastAsia="Arial" w:hAnsi="Arial"/>
          <w:sz w:val="17"/>
          <w:szCs w:val="17"/>
          <w:color w:val="auto"/>
        </w:rPr>
        <w:t>”) in the form of a committed but undrawn facility until June 30, 2021. The Company did not exercise the option.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28, 2022 (the “</w:t>
      </w:r>
      <w:r>
        <w:rPr>
          <w:rFonts w:ascii="Arial" w:cs="Arial" w:eastAsia="Arial" w:hAnsi="Arial"/>
          <w:sz w:val="18"/>
          <w:szCs w:val="18"/>
          <w:b w:val="1"/>
          <w:bCs w:val="1"/>
          <w:i w:val="1"/>
          <w:iCs w:val="1"/>
          <w:color w:val="auto"/>
        </w:rPr>
        <w:t>Amendment Date</w:t>
      </w:r>
      <w:r>
        <w:rPr>
          <w:rFonts w:ascii="Arial" w:cs="Arial" w:eastAsia="Arial" w:hAnsi="Arial"/>
          <w:sz w:val="18"/>
          <w:szCs w:val="18"/>
          <w:color w:val="auto"/>
        </w:rPr>
        <w:t>”), the Company executed an Amendment to the Hayfin Loan Agreement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The Amendment was accounted for as a modification. No gain or loss was recognized nor was there a change to the carrying amount of the debt as a result of the Amendment.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The interest rate applicable to any borrowings under the Hayfin Loan Agreement, as amended (the “</w:t>
      </w:r>
      <w:r>
        <w:rPr>
          <w:rFonts w:ascii="Arial" w:cs="Arial" w:eastAsia="Arial" w:hAnsi="Arial"/>
          <w:sz w:val="18"/>
          <w:szCs w:val="18"/>
          <w:b w:val="1"/>
          <w:bCs w:val="1"/>
          <w:i w:val="1"/>
          <w:iCs w:val="1"/>
          <w:color w:val="auto"/>
        </w:rPr>
        <w:t>Amended Hayfin Loan Agreement</w:t>
      </w:r>
      <w:r>
        <w:rPr>
          <w:rFonts w:ascii="Arial" w:cs="Arial" w:eastAsia="Arial" w:hAnsi="Arial"/>
          <w:sz w:val="18"/>
          <w:szCs w:val="18"/>
          <w:color w:val="auto"/>
        </w:rPr>
        <w:t>”), accrues at a rate equal to LIBOR (subject to a floor of 1.5%) plus a margin of 6.75% per annum. If LIBOR is unavailable, the Term Loan will carry interest at the 6.75% margin plus the greatest of the Prime Rate, the Federal Funds Rate plus 0.5% per annum, and 2.5%.</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additional 3.0% margin is applied to the interest rate in the event of a default as defined in the Amended Hayfin Loan Agreement. The Term Loan carried an interest rate of 8.3% at issuance and 9.0% as of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Amended Hayfin Loan Agreement, contains financial covenants requiring the Company, on a consolidated basis, to maintain the following:</w:t>
      </w:r>
    </w:p>
    <w:p>
      <w:pPr>
        <w:spacing w:after="0" w:line="196"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Consolidated Total Net Sales (as defined in the Amended Hayfin Loan Agreement) of varying amounts, required to be calculated on a quarterly basis,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Minimum Liquidity (as defined in the Amended Hayfin Loan Agreement) of $20 million, an at-all-times financial covenant tested monthly.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is in compliance with all financial covenants required under the Amended Hayfin Loan Agreement.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Hayfin Loan Agreement also includes events of default customary for facilities of this type, and upon the occurrence of such events of default, subject to customary cure rights, the Term Loan may be accelerated or the lenders’ commitments terminated. Mandatory prepayments are also required in the event of a change in control, incurring other indebtedness, certain proceeds from disposal of assets and insured casualty event (as defined in the Amended Hayfin Loan Agreement). Annually, beginning with the fiscal year ended December 31, 2021, the Company is required to prepay the outstanding loans based on a percentage of Excess Cash Flow (as defined in the Amended Hayfin Loan Agreement), if such is generated. No such prepayments have been required as of June 30, 2022.</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breach of a financial covenant in the Amended Hayfin Loan Agreement, if uncured or unable to be cured, would likely result in an event of default that could trigger the lender’s remedies, including acceleration of the entire principal balance of the loan as well as any applicable prepayment premiums.</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Amended Hayfin Loan Agreement also specifies that any prepayment of the Term Loan, voluntary or mandatory, will subject the Company to a prepayment premium applicable as of the date of the prepayment as follows:</w:t>
      </w:r>
    </w:p>
    <w:p>
      <w:pPr>
        <w:spacing w:after="0" w:line="1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or before July 2, 2023: 2% of the principal balance repaid.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July 2, 2023 and on or before July 2, 2024: 1% of the principal balance repaid.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July 2, 2024: no premium.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Hayfin maintains a first-priority security interest in substantially all of the Company’s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Original issue discount and deferred financing costs were allocated between the sale of the Series B Preferred Stock (which occurred on the same day as the funding of the Hayfin Loan Agreement as described in Note 10) and the Hayfin Loan Agreement on the basis of the relative fair values of the transactions. The costs allocated to the Hayfin Loan Agreement were further allocated between the Term Loan and the DD TL on the basis of the maximum potential principal outstanding between the Credit Facilities. The allocation of the deferred financing costs and original issue discount between the Term Loan and the DD TL on July 2, 2020 was as follows (in thousands):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2"/>
              </w:rPr>
              <w:t>July 2, 2020</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2"/>
          </w:tcPr>
          <w:p>
            <w:pPr>
              <w:ind w:left="280"/>
              <w:spacing w:after="0"/>
              <w:rPr>
                <w:sz w:val="20"/>
                <w:szCs w:val="20"/>
                <w:color w:val="auto"/>
              </w:rPr>
            </w:pPr>
            <w:r>
              <w:rPr>
                <w:rFonts w:ascii="Arial" w:cs="Arial" w:eastAsia="Arial" w:hAnsi="Arial"/>
                <w:sz w:val="18"/>
                <w:szCs w:val="18"/>
                <w:color w:val="auto"/>
              </w:rPr>
              <w:t>Term Loan</w:t>
            </w:r>
          </w:p>
        </w:tc>
        <w:tc>
          <w:tcPr>
            <w:tcW w:w="380" w:type="dxa"/>
            <w:vAlign w:val="bottom"/>
          </w:tcPr>
          <w:p>
            <w:pPr>
              <w:spacing w:after="0"/>
              <w:rPr>
                <w:sz w:val="19"/>
                <w:szCs w:val="19"/>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DD TL</w:t>
            </w:r>
          </w:p>
        </w:tc>
        <w:tc>
          <w:tcPr>
            <w:tcW w:w="50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color w:val="auto"/>
              </w:rPr>
              <w:t>Total</w:t>
            </w: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color w:val="auto"/>
              </w:rPr>
              <w:t>Original issue discount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financing costs and original issue discount associated with the Term Loan are amortized using the effective interest method through the Maturity Date. The amortization of such amounts is presented as part of interest expense, net on the unaudited condensed consolidated statement of operations. Unamortized deferred financing costs and original issue discount associated with the Term Loan are presented as a reduction to the principal balance on the Term Loan as part of long term debt, net on the unaudited condensed consolidated balance sheets as of June 30, 2022 and December 31,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Deferred financing costs and original issue discount associated with the DD TL were amortized using the straight-line method through the expiration of the</w:t>
      </w:r>
    </w:p>
    <w:p>
      <w:pPr>
        <w:spacing w:after="0" w:line="46" w:lineRule="exact"/>
        <w:rPr>
          <w:sz w:val="20"/>
          <w:szCs w:val="20"/>
          <w:color w:val="auto"/>
        </w:rPr>
      </w:pPr>
    </w:p>
    <w:p>
      <w:pPr>
        <w:jc w:val="both"/>
        <w:ind w:firstLine="8"/>
        <w:spacing w:after="0" w:line="255" w:lineRule="auto"/>
        <w:tabs>
          <w:tab w:leader="none" w:pos="3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TL commitment term on June 30, 2021. Amortization of these amounts is presented as part of interest expense, net on the unaudited condensed consolidated statement of operations for the three and six months ended June 30, 2021. The DD TL was subject to a commitment fee of 1% per annum of the amount undrawn, which was recognized as interest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balances of the Term Loan as of June 30, 2022 and December 31, 2021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2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 2022</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7"/>
              </w:rPr>
              <w:t>December 31, 2021</w:t>
            </w: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w:t>
            </w:r>
          </w:p>
        </w:tc>
        <w:tc>
          <w:tcPr>
            <w:tcW w:w="16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(1,425)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Original issue discount</w:t>
            </w:r>
          </w:p>
        </w:tc>
        <w:tc>
          <w:tcPr>
            <w:tcW w:w="1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Long term debt, net</w:t>
            </w: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48,356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48,127</w:t>
            </w:r>
          </w:p>
        </w:tc>
      </w:tr>
      <w:tr>
        <w:trPr>
          <w:trHeight w:val="21"/>
        </w:trPr>
        <w:tc>
          <w:tcPr>
            <w:tcW w:w="2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Term Loan, included in interest expense, net in the unaudited condensed consolidated statements of operations, was as follows (amounts 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23"/>
        </w:trPr>
        <w:tc>
          <w:tcPr>
            <w:tcW w:w="36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Stated interest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r>
      <w:tr>
        <w:trPr>
          <w:trHeight w:val="21"/>
        </w:trPr>
        <w:tc>
          <w:tcPr>
            <w:tcW w:w="3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DD TL, included in interest expense, net in the unaudited condensed consolidated statements of operations, was as follows (in thousands):</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Three Months Ended 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Six Months Ended June 30,</w:t>
            </w:r>
          </w:p>
        </w:tc>
      </w:tr>
      <w:tr>
        <w:trPr>
          <w:trHeight w:val="223"/>
        </w:trPr>
        <w:tc>
          <w:tcPr>
            <w:tcW w:w="36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Commitment fee</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18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r>
      <w:tr>
        <w:trPr>
          <w:trHeight w:val="21"/>
        </w:trPr>
        <w:tc>
          <w:tcPr>
            <w:tcW w:w="3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principal payments due on the Term Loan, by year, from June 30, 2022 through maturity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Principal</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six months ended June 30,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 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the fair value of the Term Loan was $44.2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The remaining cash flows associated with the Term Loan were discounted to June 30, 2022 using this discount rate to determine fair value.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Net Loss Per Common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Net loss per common share is calculated using two methods: basic and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Net Loss Per Common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per common share is calculated as net loss available to common stockholders divided by weighted average common shares outstanding. Net loss available to common stockholders is calculated as net loss less (i) dividends accumulated on the Company’s Series B Convertible Preferred Stock during the period, and (ii) periodic accretion of the increasing-rate dividend feature.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net loss to net loss available to common stockholders and calculation of basic net loss per common share for each of the three and six months ended June 30, 2022 and 2021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ind w:left="14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0"/>
                <w:szCs w:val="20"/>
                <w:color w:val="auto"/>
              </w:rPr>
            </w:pPr>
          </w:p>
        </w:tc>
        <w:tc>
          <w:tcPr>
            <w:tcW w:w="262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w w:val="94"/>
              </w:rPr>
              <w:t>Adjustments to reconcile to net loss available to common stockholders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dividend on Series B Preferred Stock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Accretion of increasing-rate dividend feature</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(13,126)</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112,867,912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110,276,636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112,245,334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109,841,428</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Basic net loss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Loss Per Common Share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Diluted net loss per common share is calculated as net loss available to common stockholders, adjusted for dividends on convertible preferred stock (to the extent conversion would be dilutive), divided by weighted average common shares outstanding plus potential common shares. The calculation of potential common shares considers incremental shares resulting from certain transactions, including the exercise of stock options and the issuance of restricted stock, using the treasury stock method, as well as the hypothetical conversion of the Company’s Series B Convertible Preferred Stock using the if-converted method. The treasury stock method assumes that proceeds from the transaction are used to purchase common stock at the average market price throughout the period. The if-converted method adds back periodic accrued or deemed dividends on the Company’s Series B Convertible Preferred Stock, and assumes conversion as of the beginning of the period.</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individual transaction is assessed for its dilutive effect on net loss per common share. To the extent that the transaction is antidilutive or does not reduce net loss per common share, the effect is excluded from the calculation.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sets forth the computation of diluted net loss per common share (in thousands, except share and per share amounts):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16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2740" w:type="dxa"/>
            <w:vAlign w:val="bottom"/>
            <w:gridSpan w:val="4"/>
          </w:tcPr>
          <w:p>
            <w:pPr>
              <w:jc w:val="right"/>
              <w:ind w:right="45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on Series B Convertible Preferred Stock</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antidilutive adjustments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(12,496)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112,867,912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110,276,636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112,245,334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109,841,428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Potential common shares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29,199,666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30,373,856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29,102,650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30,232,150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antidilutive potential common shares (a)</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(29,199,666)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(30,373,856)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(29,102,650)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(30,232,150)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shares outstanding adjusted for potential common</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112,867,912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110,276,636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112,245,334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109,841,428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77" w:lineRule="auto"/>
        <w:tabs>
          <w:tab w:leader="none" w:pos="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common shares outstanding for the calculation of diluted net loss per common share does not include the following adjustments for potential common shares below because their effects were determined to be antidilutive for the periods presented.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440" w:type="dxa"/>
            <w:vAlign w:val="bottom"/>
            <w:gridSpan w:val="4"/>
          </w:tcPr>
          <w:p>
            <w:pPr>
              <w:ind w:left="580"/>
              <w:spacing w:after="0"/>
              <w:rPr>
                <w:sz w:val="20"/>
                <w:szCs w:val="20"/>
                <w:color w:val="auto"/>
              </w:rPr>
            </w:pPr>
            <w:r>
              <w:rPr>
                <w:rFonts w:ascii="Arial" w:cs="Arial" w:eastAsia="Arial" w:hAnsi="Arial"/>
                <w:sz w:val="18"/>
                <w:szCs w:val="18"/>
                <w:color w:val="auto"/>
              </w:rPr>
              <w:t>Three Months Ended June 30,</w:t>
            </w:r>
          </w:p>
        </w:tc>
        <w:tc>
          <w:tcPr>
            <w:tcW w:w="3320" w:type="dxa"/>
            <w:vAlign w:val="bottom"/>
            <w:gridSpan w:val="3"/>
          </w:tcPr>
          <w:p>
            <w:pPr>
              <w:jc w:val="right"/>
              <w:ind w:right="570"/>
              <w:spacing w:after="0"/>
              <w:rPr>
                <w:sz w:val="20"/>
                <w:szCs w:val="20"/>
                <w:color w:val="auto"/>
              </w:rPr>
            </w:pPr>
            <w:r>
              <w:rPr>
                <w:rFonts w:ascii="Arial" w:cs="Arial" w:eastAsia="Arial" w:hAnsi="Arial"/>
                <w:sz w:val="18"/>
                <w:szCs w:val="18"/>
                <w:color w:val="auto"/>
              </w:rPr>
              <w:t>Six Months Ended June 30,</w:t>
            </w:r>
          </w:p>
        </w:tc>
      </w:tr>
      <w:tr>
        <w:trPr>
          <w:trHeight w:val="223"/>
        </w:trPr>
        <w:tc>
          <w:tcPr>
            <w:tcW w:w="444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Convertible Preferred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28,262,957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26,758,916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27,850,916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26,497,570</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Restricted stock unit awards</w:t>
            </w:r>
          </w:p>
        </w:tc>
        <w:tc>
          <w:tcPr>
            <w:tcW w:w="1620" w:type="dxa"/>
            <w:vAlign w:val="bottom"/>
          </w:tcPr>
          <w:p>
            <w:pPr>
              <w:jc w:val="right"/>
              <w:spacing w:after="0"/>
              <w:rPr>
                <w:sz w:val="20"/>
                <w:szCs w:val="20"/>
                <w:color w:val="auto"/>
              </w:rPr>
            </w:pPr>
            <w:r>
              <w:rPr>
                <w:rFonts w:ascii="Arial" w:cs="Arial" w:eastAsia="Arial" w:hAnsi="Arial"/>
                <w:sz w:val="18"/>
                <w:szCs w:val="18"/>
                <w:color w:val="auto"/>
              </w:rPr>
              <w:t>487,708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1,471,412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635,997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1,345,953</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444,511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1,450,671</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1620" w:type="dxa"/>
            <w:vAlign w:val="bottom"/>
          </w:tcPr>
          <w:p>
            <w:pPr>
              <w:jc w:val="right"/>
              <w:spacing w:after="0"/>
              <w:rPr>
                <w:sz w:val="20"/>
                <w:szCs w:val="20"/>
                <w:color w:val="auto"/>
              </w:rPr>
            </w:pPr>
            <w:r>
              <w:rPr>
                <w:rFonts w:ascii="Arial" w:cs="Arial" w:eastAsia="Arial" w:hAnsi="Arial"/>
                <w:sz w:val="18"/>
                <w:szCs w:val="18"/>
                <w:color w:val="auto"/>
              </w:rPr>
              <w:t>92,406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838,644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140,312</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906,811</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stock unit awards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31,145</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Potential common shares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29,199,666</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30,373,856</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29,102,650</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30,232,150</w:t>
            </w:r>
          </w:p>
        </w:tc>
      </w:tr>
      <w:tr>
        <w:trPr>
          <w:trHeight w:val="20"/>
        </w:trPr>
        <w:tc>
          <w:tcPr>
            <w:tcW w:w="4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B Convertible Preferred Stock of the Company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paid a 4.0% cumulative dividend per annum prior to the quarterly dividend payment ending on June 30, 2021, and pays a 6.0% cumulative dividend per annum thereafter. Dividends, if declared, are paid at the end of each quarter based on dividend amounts that accumulate beginning on the last payment date through the day prior to the end of each quarter. In lieu of paying a dividend, the Company may elect to accrue the dividend owed to shareholders. Accrued dividend balances accumulate dividends at the prevailing dividend rate for each dividend period for which they are outstanding.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share of Series B Preferred Stock is convertible into the Company’s common stock at any time at the option of the holder. Shares are converted based on the liquidation preference of $1,000 per share (the “</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plus any accrued or accumulated dividends through the date of the conversion at a conversion price of $3.85 per common share. The Series B Preferred Stock, including any accumulated and unpaid dividends, automatically converts into common stock at any time after July 2, 2023, provided that the common stock has traded at $7.70 per share or more for (i) 20 out of the preceding 30 consecutive trading days and (ii) on such date of conversion.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the Series B Preferred Stock, voting as a class, are entitled to appoint two members to the board of directors. The holders of the Series B Preferred Stock are entitled to vote on all matters to be voted on by the Company’s shareholders on an as-converted basis as a single class with the common stock; provided that the votes represented by the Series B Preferred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cannot exceed 19.9% of the total voting stock of the Company and their votes cannot exceed a number of shares equal to the Liquidation Preference divided by $5.25 per share.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Holders of the Series B Preferred Stock are also entitled to the Liquidation Preference plus all accumulated and unpaid dividends in the event of a liquidation, dissolution, or winding-up of the Company.</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Company undergoes a change of control (as defined), the Company will have the option to repurchase some or all of the then-outstanding shares of Series B Preferred Stock for cash in an amount equal to the Liquidation Preference plus any accumulated and unpaid dividends, subject to the rights of the holders of the Series B Preferred Stock in connection with such change in control. If the Company does not exercise such repurchase right, holders of the Series B Preferred Stock will have the option to (1) require the Company to repurchase any or all of their then-outstanding shares of Series B Preferred Stock for cash in an amount equal to the Liquidation Preference plus accumulated and unpaid dividends or (2) convert the Series B Preferred Stock into common stock and receive their pro rata consideration thereunder. Since the contingent redemption of the Series B Preferred Stock by the holders in the event of a change in control is outside the Company’s control, the Series B Preferred Stock is classified as temporary equity.</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three months ended June 30, 2022 (in thousands, except share amounts):</w:t>
      </w:r>
    </w:p>
    <w:p>
      <w:pPr>
        <w:spacing w:after="0" w:line="1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3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Activity</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three months ended June 30, 2021 (in thousands, except share amounts):</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92,030</w:t>
            </w:r>
          </w:p>
        </w:tc>
      </w:tr>
      <w:tr>
        <w:trPr>
          <w:trHeight w:val="229"/>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Deemed dividends</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six months ended June 30, 2022 (in thousands, except share amounts):</w:t>
      </w:r>
    </w:p>
    <w:p>
      <w:pPr>
        <w:spacing w:after="0" w:line="18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30"/>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Activity</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below table illustrates changes in the Company’s balance of Series B Preferred Stock for the six months ended June 30, 2021 (in thousands, except share amounts):</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Series B Preferred Stock</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33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4"/>
              </w:rPr>
              <w:t>Shares</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Amount</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91,568</w:t>
            </w:r>
          </w:p>
        </w:tc>
      </w:tr>
      <w:tr>
        <w:trPr>
          <w:trHeight w:val="229"/>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Deemed dividends</w:t>
            </w: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92,494</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not declared or paid any dividends on the Series B Preferred Stock since issuance. Dividends accumulated but not paid as of June 30, 2022 were $10.4 million. As this amount has not been declared, the Company has not recorded this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amount on its unaudited condensed consolidated balance sheet as of June 30, 2022.</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accumulated dividends as of June 30, 2022, the Series B Preferred Stock was convertible into an aggregate of 28,685,739 shares of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issued restricted stock awards (“</w:t>
      </w:r>
      <w:r>
        <w:rPr>
          <w:rFonts w:ascii="Arial" w:cs="Arial" w:eastAsia="Arial" w:hAnsi="Arial"/>
          <w:sz w:val="18"/>
          <w:szCs w:val="18"/>
          <w:b w:val="1"/>
          <w:bCs w:val="1"/>
          <w:i w:val="1"/>
          <w:iCs w:val="1"/>
          <w:color w:val="auto"/>
        </w:rPr>
        <w:t>RSAs</w:t>
      </w:r>
      <w:r>
        <w:rPr>
          <w:rFonts w:ascii="Arial" w:cs="Arial" w:eastAsia="Arial" w:hAnsi="Arial"/>
          <w:sz w:val="18"/>
          <w:szCs w:val="18"/>
          <w:color w:val="auto"/>
        </w:rPr>
        <w:t>”), restricted stock unit awards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and performance stock unit awards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to its employees. The following is summary information for restricted stock awards for the six months ended June 30, 2022.</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2022, there was $36.3 million of unrecognized share-based compensation expense related to share-based payment arrangements. This expense is expected to be recognized over a weighted-average period of 2.19 years, which approximates the remaining vesting period of these grants.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below table summarizes activity of unvested restricted stock awards by award type from January 1, 2022 through June 30, 2022. Unvested RSAs noted below are included in issued and outstanding common stock as of June 30, 2022, while unvested RSUs and unvested PSUs are not included in issued or outstanding common stock as of June 30, 2022.</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90"/>
              <w:spacing w:after="0"/>
              <w:rPr>
                <w:sz w:val="20"/>
                <w:szCs w:val="20"/>
                <w:color w:val="auto"/>
              </w:rPr>
            </w:pPr>
            <w:r>
              <w:rPr>
                <w:rFonts w:ascii="Arial" w:cs="Arial" w:eastAsia="Arial" w:hAnsi="Arial"/>
                <w:sz w:val="18"/>
                <w:szCs w:val="18"/>
                <w:color w:val="auto"/>
                <w:w w:val="91"/>
              </w:rPr>
              <w:t>RSA</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color w:val="auto"/>
                <w:w w:val="94"/>
              </w:rPr>
              <w:t>RSU</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PSU</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8"/>
              </w:rPr>
              <w:t>Average Grant</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Number of</w:t>
            </w:r>
          </w:p>
        </w:tc>
        <w:tc>
          <w:tcPr>
            <w:tcW w:w="1300" w:type="dxa"/>
            <w:vAlign w:val="bottom"/>
            <w:gridSpan w:val="3"/>
          </w:tcPr>
          <w:p>
            <w:pPr>
              <w:jc w:val="right"/>
              <w:ind w:right="200"/>
              <w:spacing w:after="0" w:line="176" w:lineRule="exact"/>
              <w:rPr>
                <w:sz w:val="20"/>
                <w:szCs w:val="20"/>
                <w:color w:val="auto"/>
              </w:rPr>
            </w:pPr>
            <w:r>
              <w:rPr>
                <w:rFonts w:ascii="Arial" w:cs="Arial" w:eastAsia="Arial" w:hAnsi="Arial"/>
                <w:sz w:val="18"/>
                <w:szCs w:val="18"/>
                <w:color w:val="auto"/>
                <w:w w:val="92"/>
              </w:rPr>
              <w:t>Average Grant</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89"/>
              </w:rPr>
              <w:t>Date</w:t>
            </w: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9"/>
              </w:rPr>
              <w:t>Date</w:t>
            </w:r>
          </w:p>
        </w:tc>
        <w:tc>
          <w:tcPr>
            <w:tcW w:w="1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100" w:type="dxa"/>
            <w:vAlign w:val="bottom"/>
          </w:tcPr>
          <w:p>
            <w:pPr>
              <w:ind w:left="3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877,197</w:t>
            </w:r>
          </w:p>
        </w:tc>
        <w:tc>
          <w:tcPr>
            <w:tcW w:w="22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4,228,919</w:t>
            </w: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3,981,885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441,964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(598,097)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(1,702,001)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(170,475)</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275,598</w:t>
            </w:r>
          </w:p>
        </w:tc>
        <w:tc>
          <w:tcPr>
            <w:tcW w:w="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7"/>
              </w:rPr>
              <w:t>6,338,328</w:t>
            </w:r>
          </w:p>
        </w:tc>
        <w:tc>
          <w:tcPr>
            <w:tcW w:w="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441,964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granted PSUs to certain executive officers during the six months ended June 30, 2022. These PSUs vest only to the extent that stipulated cumulative net sales targets are achieved for the year ending December 31, 2022, the two-year period ending December 31, 2023, and the three-year period ending December 31, 2024. Performance factors range from 50% to 150% of the net sales targets; if performance is below 50%, the PSUs do not vest. If total shareholder return (“</w:t>
      </w:r>
      <w:r>
        <w:rPr>
          <w:rFonts w:ascii="Arial" w:cs="Arial" w:eastAsia="Arial" w:hAnsi="Arial"/>
          <w:sz w:val="17"/>
          <w:szCs w:val="17"/>
          <w:b w:val="1"/>
          <w:bCs w:val="1"/>
          <w:i w:val="1"/>
          <w:iCs w:val="1"/>
          <w:color w:val="auto"/>
        </w:rPr>
        <w:t>TSR</w:t>
      </w:r>
      <w:r>
        <w:rPr>
          <w:rFonts w:ascii="Arial" w:cs="Arial" w:eastAsia="Arial" w:hAnsi="Arial"/>
          <w:sz w:val="17"/>
          <w:szCs w:val="17"/>
          <w:color w:val="auto"/>
        </w:rPr>
        <w:t>”), as defined below, is negative, vesting is limited to 100% of the award. All of the PSUs require recipients to continue employment with the Company through the vesting date, which will occur upon approval of the results with respect to the established targets by the Compensation Committee of the Board of Directors after December 31, 2024, but no later than March 15, 2025.</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TSR is calculated as the average trading price of the Company’s common stock during the final 30 trading days of 2024, adjusted for dividends paid on the Company’s common stock, less the average trading price during the final 30 trading days of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TSR is based on the Company’s share price, it represents a market condition, which is incorporated in the grant date fair value of shares in excess of 100% vesting. These awards were valued on the date of grant using a Monte Carlo simulation, the inputs for which were informed by a Black-Scholes option pricing model. The assumptions used in determining the fair value of these PSUs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2"/>
          </w:tcPr>
          <w:p>
            <w:pPr>
              <w:ind w:left="320"/>
              <w:spacing w:after="0"/>
              <w:rPr>
                <w:sz w:val="20"/>
                <w:szCs w:val="20"/>
                <w:color w:val="auto"/>
              </w:rPr>
            </w:pPr>
            <w:r>
              <w:rPr>
                <w:rFonts w:ascii="Arial" w:cs="Arial" w:eastAsia="Arial" w:hAnsi="Arial"/>
                <w:sz w:val="18"/>
                <w:szCs w:val="18"/>
                <w:color w:val="auto"/>
              </w:rPr>
              <w:t>Assumption</w:t>
            </w:r>
          </w:p>
        </w:tc>
      </w:tr>
      <w:tr>
        <w:trPr>
          <w:trHeight w:val="223"/>
        </w:trPr>
        <w:tc>
          <w:tcPr>
            <w:tcW w:w="3000" w:type="dxa"/>
            <w:vAlign w:val="bottom"/>
          </w:tcPr>
          <w:p>
            <w:pPr>
              <w:spacing w:after="0"/>
              <w:rPr>
                <w:sz w:val="19"/>
                <w:szCs w:val="19"/>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3000" w:type="dxa"/>
            <w:vAlign w:val="bottom"/>
          </w:tcPr>
          <w:p>
            <w:pPr>
              <w:spacing w:after="0"/>
              <w:rPr>
                <w:sz w:val="19"/>
                <w:szCs w:val="19"/>
                <w:color w:val="auto"/>
              </w:rPr>
            </w:pPr>
          </w:p>
        </w:tc>
      </w:tr>
      <w:tr>
        <w:trPr>
          <w:trHeight w:val="229"/>
        </w:trPr>
        <w:tc>
          <w:tcPr>
            <w:tcW w:w="30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2.74</w:t>
            </w:r>
          </w:p>
        </w:tc>
        <w:tc>
          <w:tcPr>
            <w:tcW w:w="3000" w:type="dxa"/>
            <w:vAlign w:val="bottom"/>
          </w:tcPr>
          <w:p>
            <w:pPr>
              <w:spacing w:after="0"/>
              <w:rPr>
                <w:sz w:val="19"/>
                <w:szCs w:val="19"/>
                <w:color w:val="auto"/>
              </w:rPr>
            </w:pPr>
          </w:p>
        </w:tc>
      </w:tr>
      <w:tr>
        <w:trPr>
          <w:trHeight w:val="230"/>
        </w:trPr>
        <w:tc>
          <w:tcPr>
            <w:tcW w:w="300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Expected volatility (annualized)</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c>
          <w:tcPr>
            <w:tcW w:w="3000" w:type="dxa"/>
            <w:vAlign w:val="bottom"/>
          </w:tcPr>
          <w:p>
            <w:pPr>
              <w:spacing w:after="0"/>
              <w:rPr>
                <w:sz w:val="19"/>
                <w:szCs w:val="19"/>
                <w:color w:val="auto"/>
              </w:rPr>
            </w:pPr>
          </w:p>
        </w:tc>
      </w:tr>
      <w:tr>
        <w:trPr>
          <w:trHeight w:val="230"/>
        </w:trPr>
        <w:tc>
          <w:tcPr>
            <w:tcW w:w="30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 %</w:t>
            </w:r>
          </w:p>
        </w:tc>
        <w:tc>
          <w:tcPr>
            <w:tcW w:w="3000" w:type="dxa"/>
            <w:vAlign w:val="bottom"/>
          </w:tcPr>
          <w:p>
            <w:pPr>
              <w:spacing w:after="0"/>
              <w:rPr>
                <w:sz w:val="19"/>
                <w:szCs w:val="19"/>
                <w:color w:val="auto"/>
              </w:rPr>
            </w:pPr>
          </w:p>
        </w:tc>
      </w:tr>
      <w:tr>
        <w:trPr>
          <w:trHeight w:val="229"/>
        </w:trPr>
        <w:tc>
          <w:tcPr>
            <w:tcW w:w="300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Closing stock price on grant date</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w:t>
            </w:r>
          </w:p>
        </w:tc>
        <w:tc>
          <w:tcPr>
            <w:tcW w:w="300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2.78</w:t>
            </w:r>
          </w:p>
        </w:tc>
        <w:tc>
          <w:tcPr>
            <w:tcW w:w="3000" w:type="dxa"/>
            <w:vAlign w:val="bottom"/>
          </w:tcPr>
          <w:p>
            <w:pPr>
              <w:spacing w:after="0"/>
              <w:rPr>
                <w:sz w:val="20"/>
                <w:szCs w:val="20"/>
                <w:color w:val="auto"/>
              </w:rPr>
            </w:pPr>
          </w:p>
        </w:tc>
      </w:tr>
      <w:tr>
        <w:trPr>
          <w:trHeight w:val="863"/>
        </w:trPr>
        <w:tc>
          <w:tcPr>
            <w:tcW w:w="3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77"/>
        </w:trPr>
        <w:tc>
          <w:tcPr>
            <w:tcW w:w="30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expected term was derived from the date of the grant through the latest date of the resolution of the market condition. The risk-free interest rate was derived based on the U.S. Treasury Yield curve in effect at the date of grant for maturities of similar periods to the concluded term. The expected volatility was based on the Company’s historical daily stock price movements for a term similar in length to the expected term. The dividend yield was based on the Company’s history of dividends on its common stock.</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 related to PSUs is recognized, straight-line, based on the grant date fair value of the relevant shares, over the requisite service period related to each individual tranche, limited to the extent that the achievement of the associated performance condition associated with that tranche is probable. The fair value of the awards subject to a market condition and expense recognized on such awards are not subsequently reconsidered based on the probability of achievement or ultimate resolution of the market condition. Accordingly, the Company may recognize share-based compensation expense for awards that do not ultimately vest.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six months ended June 30, 2022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Weighted-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5"/>
                <w:szCs w:val="15"/>
                <w:color w:val="auto"/>
              </w:rPr>
            </w:pPr>
          </w:p>
        </w:tc>
        <w:tc>
          <w:tcPr>
            <w:tcW w:w="1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5"/>
                <w:szCs w:val="15"/>
                <w:color w:val="auto"/>
              </w:rPr>
            </w:pPr>
          </w:p>
        </w:tc>
        <w:tc>
          <w:tcPr>
            <w:tcW w:w="128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6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1,444,845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Unvested options 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options expired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1,154,511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for the Company were (0.6)% and 0.3% for the three months ended June 30, 2022 and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rates for the Company were (0.6)% and (0.5)% for the six months ended June 30, 2022 and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discrete items affecting the effective tax rate in any period. Net operating losses incurred were offset by a valuation allowance.</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Supplemental Disclosure of Cash Flow and Non-cash Investing and Financing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Selected cash payments, receipts, and non-cash activities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Six Months Ended June 30,</w:t>
            </w:r>
          </w:p>
        </w:tc>
        <w:tc>
          <w:tcPr>
            <w:tcW w:w="6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56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2,080</w:t>
            </w:r>
          </w:p>
        </w:tc>
        <w:tc>
          <w:tcPr>
            <w:tcW w:w="144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Purchases of equipment in accounts payable</w:t>
            </w: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 arising from operating lease liabilities</w:t>
            </w: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Deemed dividends on Series B Preferred Stock</w:t>
            </w: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Fair value of non-cash consideration received for option exercises</w:t>
            </w: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Right of use assets arising from finance lease liabilities</w:t>
            </w: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receivable for sale of property and equipment</w:t>
            </w: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r>
      <w:tr>
        <w:trPr>
          <w:trHeight w:val="850"/>
        </w:trPr>
        <w:tc>
          <w:tcPr>
            <w:tcW w:w="4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7"/>
        </w:trPr>
        <w:tc>
          <w:tcPr>
            <w:tcW w:w="4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Nordic Agreement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2022, the Company entered into a collaboration agreement (the “</w:t>
      </w:r>
      <w:r>
        <w:rPr>
          <w:rFonts w:ascii="Arial" w:cs="Arial" w:eastAsia="Arial" w:hAnsi="Arial"/>
          <w:sz w:val="17"/>
          <w:szCs w:val="17"/>
          <w:b w:val="1"/>
          <w:bCs w:val="1"/>
          <w:i w:val="1"/>
          <w:iCs w:val="1"/>
          <w:color w:val="auto"/>
        </w:rPr>
        <w:t>Nordic Agreement</w:t>
      </w:r>
      <w:r>
        <w:rPr>
          <w:rFonts w:ascii="Arial" w:cs="Arial" w:eastAsia="Arial" w:hAnsi="Arial"/>
          <w:sz w:val="17"/>
          <w:szCs w:val="17"/>
          <w:color w:val="auto"/>
        </w:rPr>
        <w:t>”) with Nordic Bioscience Clinical Development A/S (“</w:t>
      </w:r>
      <w:r>
        <w:rPr>
          <w:rFonts w:ascii="Arial" w:cs="Arial" w:eastAsia="Arial" w:hAnsi="Arial"/>
          <w:sz w:val="17"/>
          <w:szCs w:val="17"/>
          <w:b w:val="1"/>
          <w:bCs w:val="1"/>
          <w:i w:val="1"/>
          <w:iCs w:val="1"/>
          <w:color w:val="auto"/>
        </w:rPr>
        <w:t>NBCD</w:t>
      </w:r>
      <w:r>
        <w:rPr>
          <w:rFonts w:ascii="Arial" w:cs="Arial" w:eastAsia="Arial" w:hAnsi="Arial"/>
          <w:sz w:val="17"/>
          <w:szCs w:val="17"/>
          <w:color w:val="auto"/>
        </w:rPr>
        <w:t>”) to provide full operational support for an upcoming clinical trial program. As part of the agreement, NBCD will perform site selection and monitoring, manage patient recruitment and enrollment, data management, statistical analysis and reporting activities for the duration of the trial.</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Nordic Agreement, the Company is obligated to pay $13.3 million upon the achievement of specified milestones over the course of the clinical trial, including $2.0 million within 30 days of execution of the agreement. The milestones are based upon various factors including, but not limited to, site selection and enrollment, patient enrollment, patient completion, and certain other activities related to start-up and close-out. The milestone payments are revised semi-annually based on fluctuations in the consumer price index.</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the ability to terminate the Nordic Agreement with 30 days written notice to NBCD. At such time, the Company would be required to pay for services performed through the date of termination and any non-cancelable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payments have been made under the Nordic Agreement as of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ordinary course of business, the Company and its subsidiaries are parties to numerous civil claims and lawsuits and subject to regulatory examinations, investigations, and requests for information. Some of these matters involve claims for substantial amounts. The Company’s experience has shown that the damages alleged by plaintiffs or claimants are often overstated, based on unsubstantiated legal theories, unsupported by facts, and/or bear no relation to the ultimate award that a court might grant. Additionally, the outcome of litigation and regulatory matters and the timing of ultimate resolution are inherently difficult to predict. These factors make it difficult for the Company to provide a meaningful estimate of the range of reasonably possible outcomes of claims in the aggregate or by individual claim. However, on a case-by-case basis, reserves are established for those legal claims for which it is probable that a loss will be incurred and the amount of such loss can be reasonably estimated. The Company's unaudited condensed consolidated balance sheet as of June 30, 2022 reflects the Company's current best estimate of probable losses associated with these matters, including costs to comply with various settlement agreements, where applicable. The actual costs of resolving these claims, as well as the cost to resolve claims that are either not probable or not estimable at this time, may be substantially higher or lower than the amounts reserved. For more information regarding the Company’s legal proceedings, 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2021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are no reserves related to legal proceedings.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$0.7 million toward the resolution of legal matters involving the Company during the six months ended June 30, 2022. In addition, insurance providers have paid $0.6 million on the Company’s behalf to settle legal matters.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recovered amounts from certain former officers and directors of the Company relating to legal fees previously advanced on their behalf. These funds were recognized as a reduction to investigation, restatement, and related expense on the condensed consolidated statement of operations for the six months ended 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litigation and regulatory matters to which the Company is a party: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16, 2019, the United States District Court for the Northern District of Georgia entered an order consolidating two purported securities class actions (MacPhee v. MiMedx Group, Inc., et al. filed February 23, 2018 and Kline v. MiMedx Group, Inc., et al. filed February 26, 2018). The order also appointed Carpenters Pension Fund of Illinois (“</w:t>
      </w:r>
      <w:r>
        <w:rPr>
          <w:rFonts w:ascii="Arial" w:cs="Arial" w:eastAsia="Arial" w:hAnsi="Arial"/>
          <w:sz w:val="17"/>
          <w:szCs w:val="17"/>
          <w:b w:val="1"/>
          <w:bCs w:val="1"/>
          <w:i w:val="1"/>
          <w:iCs w:val="1"/>
          <w:color w:val="auto"/>
        </w:rPr>
        <w:t>CPFI</w:t>
      </w:r>
      <w:r>
        <w:rPr>
          <w:rFonts w:ascii="Arial" w:cs="Arial" w:eastAsia="Arial" w:hAnsi="Arial"/>
          <w:sz w:val="17"/>
          <w:szCs w:val="17"/>
          <w:color w:val="auto"/>
        </w:rPr>
        <w:t>”) as lead plaintiff. On May 1, 2019, CPFI filed a consolidated amended complaint, naming as defendants the Company, Michael J. Senken, Parker H. “Pete” Petit, William C. Taylor, Christopher M. Cashman and Cherry Bekaert &amp; Holland LLP. The amended complaint (the “</w:t>
      </w:r>
      <w:r>
        <w:rPr>
          <w:rFonts w:ascii="Arial" w:cs="Arial" w:eastAsia="Arial" w:hAnsi="Arial"/>
          <w:sz w:val="17"/>
          <w:szCs w:val="17"/>
          <w:b w:val="1"/>
          <w:bCs w:val="1"/>
          <w:i w:val="1"/>
          <w:iCs w:val="1"/>
          <w:color w:val="auto"/>
        </w:rPr>
        <w:t>Securities Class Action Complaint</w:t>
      </w:r>
      <w:r>
        <w:rPr>
          <w:rFonts w:ascii="Arial" w:cs="Arial" w:eastAsia="Arial" w:hAnsi="Arial"/>
          <w:sz w:val="17"/>
          <w:szCs w:val="17"/>
          <w:color w:val="auto"/>
        </w:rPr>
        <w:t>”) alleged violations of Section 10(b)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Rule 10b-5 promulgated thereunder, and Section 20(a) of the Exchange Act. It asserted a class period of March 7, 2013 through June 29, 2018. Following the filing of motions to dismiss by the various defendants, CPFI was granted leave to file an amended complaint. CPFI filed its amended complaint against the Company, Michael J. Senken, Parker H. Petit, William C. Taylor, and Cherry Bekaert &amp; Holland (Christopher Cashman was dropped as a defendant) on March 30, 2020. The defendants filed motions to dismiss on May 29, 2020. On March 25, 2021, the Court granted defendants’ respective motions 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jc w:val="both"/>
        <w:ind w:right="20"/>
        <w:spacing w:after="0" w:line="263" w:lineRule="auto"/>
        <w:rPr>
          <w:sz w:val="20"/>
          <w:szCs w:val="20"/>
          <w:color w:val="auto"/>
        </w:rPr>
      </w:pPr>
      <w:r>
        <w:rPr>
          <w:rFonts w:ascii="Arial" w:cs="Arial" w:eastAsia="Arial" w:hAnsi="Arial"/>
          <w:sz w:val="18"/>
          <w:szCs w:val="18"/>
          <w:color w:val="auto"/>
        </w:rPr>
        <w:t>dismiss, finding that CPFI lacked standing to bring the underlying claims and also could not establish loss causation because it sold all of its shares in MIMEDX prior to any corrective disclosures, and dismissed the case. On April 22, 2021, CPFI filed a motion for reconsideration of the dismissal and for leave to amend to add a new plaintiff to attempt to cure the standing and loss causation issues.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28, 2022, the Court denied CPFI’s motion to reconsider and motion to substitute class representative. On February 25, 2022, CPFI filed a Notice of Appeal in the 11th Circuit Court of Appeals, Case No. 22-10633-CC, and the issues are currently being briefed by the 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 and Related Matters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12, 2021, the Company filed suit in the Circuit Court of the Eleventh Judicial District in and for Miami-Dade County, Florida (MiMedx Group, Inc. v. Petit, et. al.) against its former CEO, Parker H. “Pete” Petit, and its former COO, William C. Taylor, seeking a determination of its rights and obligations under indemnification agreements with Petit and Taylor following a federal jury’s guilty verdict against Petit for securities fraud and Taylor for conspiracy to commit securities fraud. The Company is seeking a declaratory judgment that it is not obligated to indemnify or advance expenses to Petit and Taylor in connection with certain cases to which Petit and Taylor are parties and also seeking to recoup amounts previously paid on behalf of Petit and Taylor in connection with such cases. On April 22, 2021, Petit and Taylor filed an answer and asserted counterclaims against the Company alleging breach of their indemnification agreements, breach of the covenant of good faith and fair dealing with respect to their indemnification agreements, and seeking a declaration that the Company remains obligated to indemnify and advance fees in connection with certain cases. Petit and Taylor simultaneously also filed a motion seeking to compel the Company to advance and reinstate its payments of Petit and Taylor’s legal expenses. The Company opposed Petit and Taylor’s motion and a hearing was set for June 23, 2021. At the joint request of the parties, the hearing was cancelled to allow the parties to attend a mediation to attempt a resolution of this matter; such mediation was held on August 11, 2021.</w:t>
      </w:r>
    </w:p>
    <w:p>
      <w:pPr>
        <w:spacing w:after="0" w:line="118" w:lineRule="exact"/>
        <w:rPr>
          <w:sz w:val="20"/>
          <w:szCs w:val="20"/>
          <w:color w:val="auto"/>
        </w:rPr>
      </w:pPr>
    </w:p>
    <w:p>
      <w:pPr>
        <w:ind w:right="260"/>
        <w:spacing w:after="0" w:line="438" w:lineRule="auto"/>
        <w:rPr>
          <w:sz w:val="20"/>
          <w:szCs w:val="20"/>
          <w:color w:val="auto"/>
        </w:rPr>
      </w:pPr>
      <w:r>
        <w:rPr>
          <w:rFonts w:ascii="Arial" w:cs="Arial" w:eastAsia="Arial" w:hAnsi="Arial"/>
          <w:sz w:val="18"/>
          <w:szCs w:val="18"/>
          <w:color w:val="auto"/>
        </w:rPr>
        <w:t xml:space="preserve">Following the mediation, the Company and Mr. Taylor reached an agreement to settle the matter between them. Negotiations with Mr. Petit are ongoing. </w:t>
      </w:r>
      <w:r>
        <w:rPr>
          <w:rFonts w:ascii="Arial" w:cs="Arial" w:eastAsia="Arial" w:hAnsi="Arial"/>
          <w:sz w:val="18"/>
          <w:szCs w:val="18"/>
          <w:i w:val="1"/>
          <w:iCs w:val="1"/>
          <w:color w:val="auto"/>
        </w:rPr>
        <w:t>Other Matters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Florida Business Corporation Act and agreements with its current and former officers and directors, the Company is obligated to indemnify its current and former officers and directors who are made party to a proceeding, including a proceeding brought by or in the right of the corporation, with certain exceptions, and to advance expenses to defend such matters. The Company has already borne substantial costs to satisfy these indemnification and expense advance obligations and may continue to do so in the future.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described above, the Company is a party to a variety of other legal matters that arise in the ordinary course of the Company’s business, none of which are deemed to be individually material at this time. Due to the inherent uncertainty of litigation, there can be no assurance that the resolution of any particular claim or proceeding would not have a material adverse effect on the Company’s business, results of operations, financial position or liquidity.</w:t>
      </w:r>
    </w:p>
    <w:p>
      <w:pPr>
        <w:spacing w:after="0" w:line="1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by Product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MIMEDX has two primary classes of products: (1) Advanced Wound Care, or Section 361, products, consisting of its tissue and cord sheet allograft products, and (2) Section 351 products, consisting of the Company’s micronized and particulate products. Advanced Wound Care is further disaggregated between the Company’s Tissue/Other and Cord products.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Below is a summary of net sales by class of product (in thousands):</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Three Months Ended June 30,</w:t>
            </w:r>
          </w:p>
        </w:tc>
        <w:tc>
          <w:tcPr>
            <w:tcW w:w="740" w:type="dxa"/>
            <w:vAlign w:val="bottom"/>
          </w:tcPr>
          <w:p>
            <w:pPr>
              <w:spacing w:after="0"/>
              <w:rPr>
                <w:sz w:val="20"/>
                <w:szCs w:val="20"/>
                <w:color w:val="auto"/>
              </w:rPr>
            </w:pPr>
          </w:p>
        </w:tc>
        <w:tc>
          <w:tcPr>
            <w:tcW w:w="316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Advanced Wound Care</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640"/>
              <w:spacing w:after="0"/>
              <w:rPr>
                <w:sz w:val="20"/>
                <w:szCs w:val="20"/>
                <w:color w:val="auto"/>
              </w:rPr>
            </w:pPr>
            <w:r>
              <w:rPr>
                <w:rFonts w:ascii="Arial" w:cs="Arial" w:eastAsia="Arial" w:hAnsi="Arial"/>
                <w:sz w:val="18"/>
                <w:szCs w:val="18"/>
                <w:color w:val="auto"/>
              </w:rPr>
              <w:t>Tissue/Other</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60,274</w:t>
            </w:r>
          </w:p>
        </w:tc>
        <w:tc>
          <w:tcPr>
            <w:tcW w:w="1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53,408</w:t>
            </w:r>
          </w:p>
        </w:tc>
        <w:tc>
          <w:tcPr>
            <w:tcW w:w="1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113,126</w:t>
            </w:r>
          </w:p>
        </w:tc>
        <w:tc>
          <w:tcPr>
            <w:tcW w:w="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99,977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Cord</w:t>
            </w: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155"/>
        </w:trPr>
        <w:tc>
          <w:tcPr>
            <w:tcW w:w="2460" w:type="dxa"/>
            <w:vAlign w:val="bottom"/>
          </w:tcPr>
          <w:p>
            <w:pPr>
              <w:ind w:left="420"/>
              <w:spacing w:after="0" w:line="156" w:lineRule="exact"/>
              <w:rPr>
                <w:sz w:val="20"/>
                <w:szCs w:val="20"/>
                <w:color w:val="auto"/>
              </w:rPr>
            </w:pPr>
            <w:r>
              <w:rPr>
                <w:rFonts w:ascii="Arial" w:cs="Arial" w:eastAsia="Arial" w:hAnsi="Arial"/>
                <w:sz w:val="18"/>
                <w:szCs w:val="18"/>
                <w:color w:val="auto"/>
              </w:rPr>
              <w:t>Total Advanced Wound</w:t>
            </w:r>
          </w:p>
        </w:tc>
        <w:tc>
          <w:tcPr>
            <w:tcW w:w="7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66,163</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59,294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124,612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110,823</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Care</w:t>
            </w:r>
          </w:p>
        </w:tc>
        <w:tc>
          <w:tcPr>
            <w:tcW w:w="7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Section 351</w:t>
            </w: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CCEEFF"/>
            </w:tcBorders>
          </w:tcPr>
          <w:p>
            <w:pPr>
              <w:ind w:left="4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125,777</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8"/>
        <w:spacing w:after="0" w:line="249" w:lineRule="auto"/>
        <w:tabs>
          <w:tab w:leader="none" w:pos="153" w:val="left"/>
        </w:tabs>
        <w:numPr>
          <w:ilvl w:val="0"/>
          <w:numId w:val="13"/>
        </w:numPr>
        <w:rPr>
          <w:rFonts w:ascii="Arial" w:cs="Arial" w:eastAsia="Arial" w:hAnsi="Arial"/>
          <w:sz w:val="11"/>
          <w:szCs w:val="11"/>
          <w:color w:val="auto"/>
        </w:rPr>
      </w:pPr>
      <w:r>
        <w:rPr>
          <w:rFonts w:ascii="Arial" w:cs="Arial" w:eastAsia="Arial" w:hAnsi="Arial"/>
          <w:sz w:val="11"/>
          <w:szCs w:val="11"/>
          <w:color w:val="auto"/>
        </w:rPr>
        <w:t>“Other” represents revenue transactions in the indicated period relating to performance obligations settled prior to October 1, 2019, the date at which the Company changed its pattern of revenue recognition. For all practical purposes, the Company is not able to allocate these revenue transactions to different product groups.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by Customer</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MIMEDX has two primary distribution channels: (1) direct to customers (healthcare professionals and/or facilities) (“</w:t>
      </w:r>
      <w:r>
        <w:rPr>
          <w:rFonts w:ascii="Arial" w:cs="Arial" w:eastAsia="Arial" w:hAnsi="Arial"/>
          <w:sz w:val="18"/>
          <w:szCs w:val="18"/>
          <w:b w:val="1"/>
          <w:bCs w:val="1"/>
          <w:i w:val="1"/>
          <w:iCs w:val="1"/>
          <w:color w:val="auto"/>
        </w:rPr>
        <w:t>Direct Customers</w:t>
      </w:r>
      <w:r>
        <w:rPr>
          <w:rFonts w:ascii="Arial" w:cs="Arial" w:eastAsia="Arial" w:hAnsi="Arial"/>
          <w:sz w:val="18"/>
          <w:szCs w:val="18"/>
          <w:color w:val="auto"/>
        </w:rPr>
        <w:t>”), and (2) sales through distributors (“</w:t>
      </w:r>
      <w:r>
        <w:rPr>
          <w:rFonts w:ascii="Arial" w:cs="Arial" w:eastAsia="Arial" w:hAnsi="Arial"/>
          <w:sz w:val="18"/>
          <w:szCs w:val="18"/>
          <w:b w:val="1"/>
          <w:bCs w:val="1"/>
          <w:i w:val="1"/>
          <w:iCs w:val="1"/>
          <w:color w:val="auto"/>
        </w:rPr>
        <w:t>Distributors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net sales by each customer type (in thousands):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Six Months Ended June 30,</w:t>
            </w:r>
          </w:p>
        </w:tc>
      </w:tr>
      <w:tr>
        <w:trPr>
          <w:trHeight w:val="223"/>
        </w:trPr>
        <w:tc>
          <w:tcPr>
            <w:tcW w:w="23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Customers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123,619</w:t>
            </w:r>
          </w:p>
        </w:tc>
      </w:tr>
      <w:tr>
        <w:trPr>
          <w:trHeight w:val="230"/>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Distributors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66,883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68,165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128,132</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have significant foreign operations or a single external customer from which 10% or more of revenues were derived during the three or six months ended June 30, 2022 or 2021.</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24" w:name="page25"/>
    <w:bookmarkEnd w:id="24"/>
    <w:p>
      <w:pPr>
        <w:ind w:right="382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spacing w:after="0" w:line="293" w:lineRule="auto"/>
        <w:rPr>
          <w:sz w:val="20"/>
          <w:szCs w:val="20"/>
          <w:color w:val="auto"/>
        </w:rPr>
      </w:pPr>
      <w:r>
        <w:rPr>
          <w:rFonts w:ascii="Arial" w:cs="Arial" w:eastAsia="Arial" w:hAnsi="Arial"/>
          <w:sz w:val="16"/>
          <w:szCs w:val="16"/>
          <w:color w:val="auto"/>
        </w:rPr>
        <w:t>MIMEDX is a transformational placental biologics company, developing and distributing placental tissue allografts with patent-protected, proprietary processes for multiple sectors of healthcare. As a pioneer in placental biologics, we are focused on addressing unmet clinical needs in areas of advanced wound care, surgical recovery applications and musculoskeletal conditions. We derive our products from human placental tissues and process these tissues using our proprietary methods, including the PURION® process. We apply Current Good Tissue Practice (“</w:t>
      </w:r>
      <w:r>
        <w:rPr>
          <w:rFonts w:ascii="Arial" w:cs="Arial" w:eastAsia="Arial" w:hAnsi="Arial"/>
          <w:sz w:val="16"/>
          <w:szCs w:val="16"/>
          <w:b w:val="1"/>
          <w:bCs w:val="1"/>
          <w:i w:val="1"/>
          <w:iCs w:val="1"/>
          <w:color w:val="auto"/>
        </w:rPr>
        <w:t>CGTP</w:t>
      </w:r>
      <w:r>
        <w:rPr>
          <w:rFonts w:ascii="Arial" w:cs="Arial" w:eastAsia="Arial" w:hAnsi="Arial"/>
          <w:sz w:val="16"/>
          <w:szCs w:val="16"/>
          <w:color w:val="auto"/>
        </w:rPr>
        <w:t>”) and Current Good Manufacturing Practice (“</w:t>
      </w:r>
      <w:r>
        <w:rPr>
          <w:rFonts w:ascii="Arial" w:cs="Arial" w:eastAsia="Arial" w:hAnsi="Arial"/>
          <w:sz w:val="16"/>
          <w:szCs w:val="16"/>
          <w:b w:val="1"/>
          <w:bCs w:val="1"/>
          <w:i w:val="1"/>
          <w:iCs w:val="1"/>
          <w:color w:val="auto"/>
        </w:rPr>
        <w:t>CGMP</w:t>
      </w:r>
      <w:r>
        <w:rPr>
          <w:rFonts w:ascii="Arial" w:cs="Arial" w:eastAsia="Arial" w:hAnsi="Arial"/>
          <w:sz w:val="16"/>
          <w:szCs w:val="16"/>
          <w:color w:val="auto"/>
        </w:rPr>
        <w:t>”) standards in addition to terminal sterilization to produce our allografts. MIMEDX provides products primarily in the wound care, burn, and surgical recovery sectors of healthcare. All of our products are regulated by the United States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MIMEDX is a leading supplier of human placental allografts, which are human tissues that are derived from one person (the donor) and used to produce products that treat another person (the recipient). MIMEDX has supplied over two million allografts, through both direct and consignment shipments. Our platform technologies include tissue allografts derived from the amnion and chorion layers of human placental membrane (EPIFIX® and AMNIOFIX®) and tissue allografts derived from human umbilical cord (EPICORD® and AMNIOCORD®). Our most recent product innovation, AMNIOEFFECT</w:t>
      </w:r>
      <w:r>
        <w:rPr>
          <w:rFonts w:ascii="Arial" w:cs="Arial" w:eastAsia="Arial" w:hAnsi="Arial"/>
          <w:sz w:val="20"/>
          <w:szCs w:val="20"/>
          <w:color w:val="auto"/>
          <w:vertAlign w:val="superscript"/>
        </w:rPr>
        <w:t>TM</w:t>
      </w:r>
      <w:r>
        <w:rPr>
          <w:rFonts w:ascii="Arial" w:cs="Arial" w:eastAsia="Arial" w:hAnsi="Arial"/>
          <w:sz w:val="16"/>
          <w:szCs w:val="16"/>
          <w:color w:val="auto"/>
        </w:rPr>
        <w:t>, introduced in June 2022 via limited market release, is a tri-layer placental tissue allograft that contains amnion, intermediate layer and chorion membranes. This product is designed to meet the needs of surgeons performing procedures where a more robust allograft with expansive size offerings is desired.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EPIFIX and EPICORD products are marketed for external use, such as in advanced wound care applications, while our AMNIOFIX, AMNIOEFFECT and AMNIOCORD products are positioned for use in surgical recovery applications, including lower extremity repair, plastic surgery, vascular surgery and multiple orthopedic repairs and reconstructions.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AMNIOFIX Injectable, or mdHACM, is a micronized configuration of AMNIOFIX and is not currently marketed in the United States. mdHACM is our lead product candidate for our late-stage pipeline targeted at achieving FDA approval for specific clinical indications, including degenerative musculoskeletal conditions.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two classes of products: (1) Advanced Wound Care products, or Section 361 products, consisting of our tissue and cord sheet allograft products, and (2) Section 351 Products, consisting of our micronized and particulate products, which, prior to May 31, 2021, the date the FDA’s period of enforcement discretion ended (as described below), were used to treat a variety of clinical conditions, including both advanced wound care and musculoskeletal applications. Our Advanced Wound Care business includes two product categories, Tissue/Other and Cord products. We sell product through two distribution channels: (1) direct to customers (healthcare professionals and/or facilities); and (2) sales through distributors.</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from those considered to be drugs, devices, and/or biological products subject to licensure under Section 351 of the Public Health Service Act and related regulations. The FDA exercised enforcement discretion with respect to Investigational New Drug (“</w:t>
      </w:r>
      <w:r>
        <w:rPr>
          <w:rFonts w:ascii="Arial" w:cs="Arial" w:eastAsia="Arial" w:hAnsi="Arial"/>
          <w:sz w:val="16"/>
          <w:szCs w:val="16"/>
          <w:b w:val="1"/>
          <w:bCs w:val="1"/>
          <w:i w:val="1"/>
          <w:iCs w:val="1"/>
          <w:color w:val="auto"/>
        </w:rPr>
        <w:t>IND</w:t>
      </w:r>
      <w:r>
        <w:rPr>
          <w:rFonts w:ascii="Arial" w:cs="Arial" w:eastAsia="Arial" w:hAnsi="Arial"/>
          <w:sz w:val="16"/>
          <w:szCs w:val="16"/>
          <w:color w:val="auto"/>
        </w:rPr>
        <w:t>”) applications and pre-market approval requirements until May 31, 2021 (“</w:t>
      </w:r>
      <w:r>
        <w:rPr>
          <w:rFonts w:ascii="Arial" w:cs="Arial" w:eastAsia="Arial" w:hAnsi="Arial"/>
          <w:sz w:val="16"/>
          <w:szCs w:val="16"/>
          <w:b w:val="1"/>
          <w:bCs w:val="1"/>
          <w:i w:val="1"/>
          <w:iCs w:val="1"/>
          <w:color w:val="auto"/>
        </w:rPr>
        <w:t>Enforcement Discretion</w:t>
      </w:r>
      <w:r>
        <w:rPr>
          <w:rFonts w:ascii="Arial" w:cs="Arial" w:eastAsia="Arial" w:hAnsi="Arial"/>
          <w:sz w:val="16"/>
          <w:szCs w:val="16"/>
          <w:color w:val="auto"/>
        </w:rPr>
        <w:t>”). As of May 31, 2021, we stopped marketing our Section 351 products in the United States and are precluded from marketing such products until a Biologics License Application (“</w:t>
      </w:r>
      <w:r>
        <w:rPr>
          <w:rFonts w:ascii="Arial" w:cs="Arial" w:eastAsia="Arial" w:hAnsi="Arial"/>
          <w:sz w:val="16"/>
          <w:szCs w:val="16"/>
          <w:b w:val="1"/>
          <w:bCs w:val="1"/>
          <w:i w:val="1"/>
          <w:iCs w:val="1"/>
          <w:color w:val="auto"/>
        </w:rPr>
        <w:t>BLA</w:t>
      </w:r>
      <w:r>
        <w:rPr>
          <w:rFonts w:ascii="Arial" w:cs="Arial" w:eastAsia="Arial" w:hAnsi="Arial"/>
          <w:sz w:val="16"/>
          <w:szCs w:val="16"/>
          <w:color w:val="auto"/>
        </w:rPr>
        <w:t>”) is granted. If and when the FDA approves a BLA, we expect to be allowed to market our Section 351 Products in the United States again, but only for specific indications as permitted by the FDA.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Unit Update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quarter of 2022, we announced the creation of two defined, cohesive internal business units within the Company: (1) Wound Care &amp; Surgical, focused on Wound Care and Surgical Recovery markets, our existing product portfolio, and near-term innovation; and (2) Regenerative Medicine</w:t>
      </w:r>
    </w:p>
    <w:p>
      <w:pPr>
        <w:jc w:val="both"/>
        <w:ind w:firstLine="8"/>
        <w:spacing w:after="0" w:line="255" w:lineRule="auto"/>
        <w:tabs>
          <w:tab w:leader="none" w:pos="2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Biologics Innovation, focused solely on Regenerative Medicine technologies, specifically progressing our placental biologics platform towards registration as a U.S. Food &amp; Drug Administration (FDA) approved biological drug. We anticipate transitioning our management structure on the basis of these two business units, and providing operating results by business unit in the future.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Effect of Covid-19 Pandemic</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is still ongoing, though the effects on our operations, such as restricted access to hospitals and difficulties obtaining donor materials, have largely been ameliorated and did not materially affect our operations during the three months ended June 30, 2022. We are continuously monitoring for any developments that may impact our operations, including novel variants of the virus and government and societal responses to mitigate the spread.</w:t>
      </w:r>
    </w:p>
    <w:p>
      <w:pPr>
        <w:spacing w:after="0" w:line="1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exercise an abundance of caution with respect to the health and well-being of our employees. Our offices are open and staffed, and we are operating under a hybrid work model for some personnel as well as encouraging all employees to get vaccinated if they have not already done so.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center"/>
              <w:ind w:right="280"/>
              <w:spacing w:after="0"/>
              <w:rPr>
                <w:sz w:val="20"/>
                <w:szCs w:val="20"/>
                <w:color w:val="auto"/>
              </w:rPr>
            </w:pPr>
            <w:r>
              <w:rPr>
                <w:rFonts w:ascii="Arial" w:cs="Arial" w:eastAsia="Arial" w:hAnsi="Arial"/>
                <w:sz w:val="18"/>
                <w:szCs w:val="18"/>
                <w:color w:val="auto"/>
                <w:w w:val="89"/>
              </w:rPr>
              <w:t>Three Months Ended June 30,</w:t>
            </w:r>
          </w:p>
        </w:tc>
        <w:tc>
          <w:tcPr>
            <w:tcW w:w="158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1"/>
              </w:rPr>
              <w:t>(in thousands)</w:t>
            </w:r>
          </w:p>
        </w:tc>
        <w:tc>
          <w:tcPr>
            <w:tcW w:w="158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 Change</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 Change</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68,165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35.7 %</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(expense)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510.9 %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recorded net sales for the three months ended June 30, 2022 of $66.9 million, a $1.3 million decrease, or 1.9%,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in which we recognized revenue of $68.2 million. Our sales by product were as follows (amounts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Change</w:t>
            </w:r>
          </w:p>
        </w:tc>
        <w:tc>
          <w:tcPr>
            <w:tcW w:w="1260" w:type="dxa"/>
            <w:vAlign w:val="bottom"/>
            <w:tcBorders>
              <w:bottom w:val="single" w:sz="8" w:color="auto"/>
            </w:tcBorders>
          </w:tcPr>
          <w:p>
            <w:pPr>
              <w:spacing w:after="0"/>
              <w:rPr>
                <w:sz w:val="20"/>
                <w:szCs w:val="20"/>
                <w:color w:val="auto"/>
              </w:rPr>
            </w:pPr>
          </w:p>
        </w:tc>
      </w:tr>
      <w:tr>
        <w:trPr>
          <w:trHeight w:val="223"/>
        </w:trPr>
        <w:tc>
          <w:tcPr>
            <w:tcW w:w="30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Advanced Wound Care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Tissue/Other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60,274</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53,408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6,866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Cord</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Total Advanced Wound Care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66,163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59,294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Section 351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(75.1)%</w:t>
            </w:r>
          </w:p>
        </w:tc>
      </w:tr>
      <w:tr>
        <w:trPr>
          <w:trHeight w:val="248"/>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66,883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68,165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sales reflects our inability to sell our Section 351 Products in the United States during the three months ended June 30, 2022, following the end of Enforcement Discretion on May 31, 2021. Sales of our Section 351 Products were $0.6 million for the three months ended June 30, 2022 compared to $8.6 million for the three months ended June 30, 2021, a decrease of $7.9 million. Sales of Section 351 Products during the three months ended June 30, 2022 were derived from sales outside the United States.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growth in our Advanced Wound Care products of $6.9 million, or 11.6% year-over-year, partially offset the decrease in Section 351 Product sales described above. Our sales growth in this area was a result of our focus on the application of these products into areas of surgical recovery, as well as the results of our prior initiatives to expand, realign and train our sales team.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Cost of sales for the three months ended June 30, 2022 and 2021 was $11.8 million and $12.8 million, respectively, a decrease of $0.9 million, or 7.3%.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for the three months ended June 30, 2022 was 82.3% compared to 81.3% for the three months ended June 30, 2021.</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Cost of sales for the three months ended June 30, 2021 included $1.0 million of inventory write-downs related to our Section 351 Products, resulting from the end of Enforcement Discretion. This decreased gross margin by 1.5%. There were no significant unusual write-downs during the.three months ended June 30, 2022. Gross margin for the three months ended June 30, 2022 was also positively aided by year-over-year changes in sales mix.</w:t>
      </w:r>
    </w:p>
    <w:p>
      <w:pPr>
        <w:spacing w:after="0" w:line="108" w:lineRule="exact"/>
        <w:rPr>
          <w:sz w:val="20"/>
          <w:szCs w:val="20"/>
          <w:color w:val="auto"/>
        </w:rPr>
      </w:pPr>
    </w:p>
    <w:p>
      <w:pPr>
        <w:ind w:right="2040"/>
        <w:spacing w:after="0" w:line="461" w:lineRule="auto"/>
        <w:rPr>
          <w:sz w:val="20"/>
          <w:szCs w:val="20"/>
          <w:color w:val="auto"/>
        </w:rPr>
      </w:pPr>
      <w:r>
        <w:rPr>
          <w:rFonts w:ascii="Arial" w:cs="Arial" w:eastAsia="Arial" w:hAnsi="Arial"/>
          <w:sz w:val="18"/>
          <w:szCs w:val="18"/>
          <w:color w:val="auto"/>
        </w:rPr>
        <w:t xml:space="preserve">These effects on gross profit margin and cost of sales were offset by inflationary pressures, increasing materials and labor costs. </w:t>
      </w:r>
      <w:r>
        <w:rPr>
          <w:rFonts w:ascii="Arial" w:cs="Arial" w:eastAsia="Arial" w:hAnsi="Arial"/>
          <w:sz w:val="18"/>
          <w:szCs w:val="18"/>
          <w:i w:val="1"/>
          <w:iCs w:val="1"/>
          <w:color w:val="auto"/>
        </w:rPr>
        <w:t>Selling, General and Administrative Expense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for the three months ended June 30, 2022 was $55.8 million, compared to $53.6 million for the three months ended June 30, 2021, an increase of $2.2 million, or 4.1%. The increase in these expenses reflects increases in travel expenses and bad debt expense. The increase in travel expenses reflects the lifting of travel restrictions that were in place during the three months ended June 30, 2021 due to the COVID-19 Pandemic, as well as inflationary pressures experienced during the three months ended June 30, 2022. The increase in bad debt expense was a result of the deterioration of credit for certain specific customers.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selling, general and administrative expense was driven further by year-over-year increases in commissions due to our focus on sales of products into areas of Surgical Recovery, which resulted in a proportional increase in sales through sales agents.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was partially offset by a decrease in expenses incurred in connection with our annual meeting of stockholders. During the three months ended June 30, 2022 we incurred $2.1 million in consulting and advisory expenses related to a withhold the vote campaign launched by a shareholder. This compares to $3.8 million of expenses incurred during the three months ended June 30, 2021 related to a proxy contest initiated by the same shareholder.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variance was primarily the result of year-over-year decreases in depreciation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expense increased $1.4 million, or 35.7%, to $5.5 million for the three months ended June 30, 2022, compared to $4.1 million for the three months ended June 30, 2021. The increase reflects higher personnel costs, driven by increases in headcount to support clinical research efforts connected to our commercial and late-stage pipelines. This was offset by a year-over-year decrease in professional services expenses and clinical trial expenses that we had incurred during the three months ended June 30, 2021 to close out and analyze the results of our clinical trials. The remaining variance was primarily the result of increases in development and testing costs.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section below, we have engaged Nordic Bioscience Clinical Development A/S to carry out our Knee Osteoarthritis clinical trial program. Under the terms of this agreement, we are obligated to pay $13.3 million upon the achievement of specified milestones over the course of the clinical trial, as well as certain other costs necessary to complete the clinical trial. We expect to begin incurring expenses related to this arrangement in the third quarter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Investigation, restatement and related expense for the three months ended June 30, 2022 was $3.2 million compared to a benefit of $2.1 million for the three months ended June 30, 2021.</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prior year benefit was primarily the result of funds received from certain director and officer insurance policies during the three months ended June 30, 2021, as well as negotiated reductions in previously-recognized legal expenses advanced on behalf of certain former members of management. Excluding these negotiated payments and reductions, our expenses decreased, year-over-year.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Expenses incurred during the three months ended June 30, 2022 and 2021 included amounts related to legal fees advanced under indemnification agreements with certain former members of management. We remain subject to indemnification agreements with certain former officers and directors of the Company (other than Messrs. Petit and Taylor, our former Chief Executive Officer and Chief Operating Officer) for whom legal proceedings are still ongoing, in particular, our former Chief Financial Officer. Overall, costs to defend ourselves in legal matters related to the findings of the Audit Committee Investigation from May 2019 also decreased, year-over-year.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was $0.2 million for each of the three months ended June 30,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was $1.2 million for the three months ended June 30, 2022 compared to $1.4 million for the three months ended June 30, 2021, a decrease of $0.2 million, or 14.7%. The difference was the result of the amortization of deferred financing costs and original issue discount associated with a delayed draw term loan facility under the Hayfin Loan Agreement (described below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which ceased at the conclusion of the commitment period for the delayed draw facility on June 30, 2021.</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interest expense to increase in future quarters as a result of the rising interest rate environment, as the London Interbank Offered Rate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increases to levels above the 1.5% floor stipulated in our Term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(Expense) Benefit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rates for the Company were (0.6)% and 0.3% for the three months ended June 30, 2022 and June 30, 2021, respectively. There were no material discrete items affecting the effective tax rate in either period. Net operating losses incurred during both periods were offset by a valuation allowance.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the Six Months Ended June 30, 2021</w:t>
      </w:r>
    </w:p>
    <w:p>
      <w:pPr>
        <w:spacing w:after="0" w:line="225"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Six Months Ended June 30,</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(in thousands)</w:t>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color w:val="auto"/>
              </w:rPr>
              <w:t>$ Change</w:t>
            </w:r>
          </w:p>
        </w:tc>
        <w:tc>
          <w:tcPr>
            <w:tcW w:w="15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 Change</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125,777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128,132</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22,401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105,731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99,003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8,402</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36.6 %</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Investigation, restatement and related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135.8 %</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(21,357)</w:t>
            </w:r>
          </w:p>
        </w:tc>
        <w:tc>
          <w:tcPr>
            <w:tcW w:w="12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(10,161)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(11,196)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110.2 %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recorded net sales for the six months ended June 30, 2022 of $125.8 million, a $2.4 million decrease, or 1.8%, compared to the six months ended June 30, 2021, for which we recorded net sales of $128.1 million. Our sales by product were as follows (amounts in thousands):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tbl>
      <w:tblPr>
        <w:tblLayout w:type="fixed"/>
        <w:tblInd w:w="50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Change</w:t>
            </w:r>
          </w:p>
        </w:tc>
        <w:tc>
          <w:tcPr>
            <w:tcW w:w="1260" w:type="dxa"/>
            <w:vAlign w:val="bottom"/>
            <w:tcBorders>
              <w:bottom w:val="single" w:sz="8" w:color="auto"/>
            </w:tcBorders>
          </w:tcPr>
          <w:p>
            <w:pPr>
              <w:spacing w:after="0"/>
              <w:rPr>
                <w:sz w:val="20"/>
                <w:szCs w:val="20"/>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Advanced Wound Care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3040" w:type="dxa"/>
            <w:vAlign w:val="bottom"/>
          </w:tcPr>
          <w:p>
            <w:pPr>
              <w:ind w:left="220"/>
              <w:spacing w:after="0"/>
              <w:rPr>
                <w:sz w:val="20"/>
                <w:szCs w:val="20"/>
                <w:color w:val="auto"/>
              </w:rPr>
            </w:pPr>
            <w:r>
              <w:rPr>
                <w:rFonts w:ascii="Arial" w:cs="Arial" w:eastAsia="Arial" w:hAnsi="Arial"/>
                <w:sz w:val="18"/>
                <w:szCs w:val="18"/>
                <w:color w:val="auto"/>
              </w:rPr>
              <w:t>Tissue/Other</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113,126</w:t>
            </w:r>
          </w:p>
        </w:tc>
        <w:tc>
          <w:tcPr>
            <w:tcW w:w="12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99,977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13,149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3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Cord</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 Advanced Wound Care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124,612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110,823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Section 351</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(76.1)%</w:t>
            </w:r>
          </w:p>
        </w:tc>
      </w:tr>
      <w:tr>
        <w:trPr>
          <w:trHeight w:val="248"/>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125,777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128,132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net sales reflects our inability to sell our Section 351 Products in the United States during the six months ended June 30, 2022, following the end of Enforcement Discretion on May 31, 2021. Sales of our Section 351 Products were $1.0 million for the six months ended June 30, 2022 compared to $16.7 million for the three months ended June 30, 2021, a decrease of $15.7 million. Sales of Section 351 Products during the six months ended June 30, 2022 were derived from sales outside the United States.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growth in our Advanced Wound Care products of $13.8 million, or 12.4%, year-over-year, partially offset the decrease in Section 351 Product sales described above. Our sales growth in this area was a result of our focus on the application of these products into areas of surgical recovery, as well as the results of our prior initiatives to expand, realign and train our sales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Profit Margin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for the six months ended June 30, 2022 was $21.8 million, a decrease of $0.6 million, or 2.9%, compared to $22.4 million for the six months ended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for the six months ended June 30, 2022 was 82.7% compared to 82.5% for the six months ended June 30, 2021.</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for the six months ended June 30, 2021 included $1.0 million of inventory write-downs related to our Section 351 Products, resulting from the end of Enforcement Discretion. This decreased gross margin by 0.8%. There were no significant unusual write-downs during the six months ended June 30, 2022.</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margin and cost of sales during the six months ended June 30, 2022 were negatively impacted by inflationary pressures, increasing material and labor costs. This effect was offset by year-over-year changes in sales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six months ended June 30, 2022 increased $6.4 million, or 6.4%, to $105.4 million, compared to $99.0 million for the six months ended June 30, 2021. The increase in these expenses reflects increases in travel expenses, sales commissions, personnel costs, and bad debt expense. The increase in travel expenses reflects the lifting of travel restrictions that were in place during the six months ended June 30, 2021 due to the COVID-19 Pandemic, as well as inflationary pressures experienced during the six months ended June 30, 2022. Increases in personnel costs and sales commissions were the result of annual compensation adjustments as well as sales force realignment and expansion; additionally, our focus on sales of products into areas of Surgical Recovery resulted in a proportional increase in sales through sales agents. The increase in bad debt expense was a result of the deterioration of credit for certain specific customers.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was partially offset by a decrease in expenses incurred in connection with our annual meeting of stockholders. During the six months ended June 30, 2022 we incurred $2.1 million in consulting and advisory expenses related to a withhold the vote campaign launched by a shareholder. This compares to $3.8 million of similar expenses incurred during the six months ended June 30, 2021 related to a proxy contest initiated by the same shareholder.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variance was the result of year-over-year decreases in depreciation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expenses increased $3.1 million, or 36.6%, to $11.5 million for the six months ended June 30, 2022, compared to $8.4 million for the six months ended June 30, 2021. The increase reflects higher personnel costs, driven by increases in headcount to support clinical research efforts connected to our commercial and late-stage pipelines. This effect was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offset primarily by decreases in clinical trial and professional services expenses that we had incurred during the six months ended June 30, 2021, to close out and analyze the results of our clinical trials.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 Restatement and Related Expense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Investigation, restatement and related expenses for the six months ended June 30, 2022 increased approximately $0.6 million, or 12.4%, to $5.8 million compared to $5.1 million for the six months ended June 30, 2021. The increase reflects receipt of funds from certain director and officer insurance policies during the six months ended June 30, 2021. This effect was offset by year-over year decreases in indemnification fees, net of negotiated reductions, advanced to former officers and directors of the Company and litigation expenses toward our defense in legal matters. Expenses incurred during the six months ended June 30, 2022 and 2021 included amounts related to legal fees advanced under indemnification agreements with certain former members of management, in particular, our former 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Amortization expense decreased $0.1 million or 24.0% from the six months ended June 30, 2021 to the six months ended June 30, 2022. The decrease was the result of amortization avoided on licenses, supplier relationships, and non-compete agreements, which were fully amortized or impaired during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was $2.3 million for the six months ended June 30, 2022 compared to $2.8 million for the six months ended June 30, 2021. The difference was the result of the amortization of deferred financing costs and original issue discount associated with a delayed draw term loan facility under the Hayfin Loan Agreement (described below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which ceased at the conclusion of the commitment period for the delayed draw facility on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Expense</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effective tax rates for the Company were (0.6)% and (0.5)% for the six months ended June 30, 2022 and 2021, respectively. There were no material discrete items affecting the effective tax rate in either period. Net operating losses incurred during both periods were offset by a valuation allowance.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GAAP results, we provide certain Non-GAAP measures including Earnings Before Interest, Taxes, Depreciation and Amortization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and Adjusted EBITDA. We believe that the presentation of these measures provides important supplemental information to management and investors regarding our performance. These measurements are not a substitute for GAAP measurements, and the manner in which we calculate such metrics may not be identical to the manner in which other companies calculate and present similar metrics. Company management uses these Non-GAAP measurements as aids in monitoring our ongoing financial performance from quarter-to-quarter and year-to-year on a regular basis and for benchmarking against comparable companies.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EBITDA is intended to provide a measure of the Company’s operating performance as it eliminates the effects of financing and capital expenditures.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EBITDA consists of GAAP net loss excluding: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depreciation, (ii) amortization of intangibles, (iii) interest expense, net, and (iv) income tax provision.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intended to provide an enduring, normalized view of EBITDA and our broader business operations that we expect to experience on an ongoing basis by removing certain non-cash items and items which may be irregular, one-time, or non-recurring from EBITDA. This also includes share-based compensation, which is predominantly settled in shares. This enables us to identify underlying trends in our business that could otherwise be masked by such items.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consists of GAAP net loss excluding:</w:t>
      </w:r>
    </w:p>
    <w:p>
      <w:pPr>
        <w:spacing w:after="0" w:line="185" w:lineRule="exact"/>
        <w:rPr>
          <w:sz w:val="20"/>
          <w:szCs w:val="20"/>
          <w:color w:val="auto"/>
        </w:rPr>
      </w:pPr>
    </w:p>
    <w:p>
      <w:pPr>
        <w:ind w:right="20" w:firstLine="8"/>
        <w:spacing w:after="0" w:line="277" w:lineRule="auto"/>
        <w:tabs>
          <w:tab w:leader="none" w:pos="2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(ii) amortization of intangibles, (iii) interest expense, (iv) income tax provision, (v) costs incurred in connection with the Audit Committee Investigation and Restatement, and (vi) share-based compensation.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also assesses EBITDA margin and Adjusted EBITDA margin to provide an additional layer of context to the Company’s profitability; indicating our ability to convert our sales into sustainable operating results. EBITDA margin is calculated as EBITDA divided by GAAP net sales. Similarly, Adjusted EBITDA margin is calculated as Adjusted EBITDA divided by GAAP net sales.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A reconciliation of GAAP net loss to EBITDA and Adjusted EBITDA appears in the table below (in thousands):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5"/>
          </w:tcPr>
          <w:p>
            <w:pPr>
              <w:ind w:left="280"/>
              <w:spacing w:after="0"/>
              <w:rPr>
                <w:sz w:val="20"/>
                <w:szCs w:val="20"/>
                <w:color w:val="auto"/>
              </w:rPr>
            </w:pPr>
            <w:r>
              <w:rPr>
                <w:rFonts w:ascii="Arial" w:cs="Arial" w:eastAsia="Arial" w:hAnsi="Arial"/>
                <w:sz w:val="18"/>
                <w:szCs w:val="18"/>
                <w:color w:val="auto"/>
              </w:rPr>
              <w:t>Three Months Ended June 30,</w:t>
            </w:r>
          </w:p>
        </w:tc>
        <w:tc>
          <w:tcPr>
            <w:tcW w:w="380" w:type="dxa"/>
            <w:vAlign w:val="bottom"/>
          </w:tcPr>
          <w:p>
            <w:pPr>
              <w:spacing w:after="0"/>
              <w:rPr>
                <w:sz w:val="20"/>
                <w:szCs w:val="20"/>
                <w:color w:val="auto"/>
              </w:rPr>
            </w:pPr>
          </w:p>
        </w:tc>
        <w:tc>
          <w:tcPr>
            <w:tcW w:w="3100" w:type="dxa"/>
            <w:vAlign w:val="bottom"/>
            <w:gridSpan w:val="4"/>
          </w:tcPr>
          <w:p>
            <w:pPr>
              <w:jc w:val="right"/>
              <w:ind w:right="674"/>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(21,357)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Net margin</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(7.9)%</w:t>
            </w: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(8,605)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1,108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(16,874)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EBITDA margin</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1.6 %</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Additional Non-GAAP Adjustments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Costs (benefits) incurred in connection with Audit</w:t>
            </w: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3,218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Committee Investigation and Restatement</w:t>
            </w: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8,426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(1.4)%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4.6 %</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6.3 %</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operating activities during the six months ended June 30, 2022 was $13.2 million, compared to $5.1 million of cash used for the six months ended June 30, 2021. The increase was driven primarily by year-over-year increases in selling, general and administrative expenses and research and development expenses. In addition, payments of accrued compensation increased for the six months ended June 30, 2022 due to a restructuring of our internal commission arrangements during 2021. These effects were offset by year-over-year decreases in payments related to legal accruals and recoveries from director and officer insurance policies during the six months ended June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during the six months ended June 30, 2022 was $0.6 million, compared to $2.5 million for the six months ended June 30, 2021. This decrease was the result of a $1.8 million year-over-year decrease in capital expenditures. In addition, patent application costs decreased $0.1 million, year-over-year.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$0.8 million during the six months ended June 30, 2022 compared to $3.2 million during the six months ended June 30, 2021. The decrease was the result of a $3.4 million decrease in cash paid for tax withholdings upon the vesting of restricted stock awards during the six months ended June 30, 2022 compared to the six months ended June 30, 2021. This was offset by a $0.9 million decrease in cash proceeds from the exercise of stock options, year-over-year.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business requires capital for our operating activities, including costs associated with the sale of product through direct and indirect sales channels, the conduct of research and development activities, compliance costs, and legal and consulting fees in connection with ongoing litigation and other matters.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had $72.5 million of cash and cash equivalents. We reported total current assets of $131.0 million and total current liabilities of $37.1 million at June 30, 2022, a current ratio of 3.5 as of June 30,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paying our obligations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cash requirements related to the following items within one year of the date of the filing of this Quarterly Report: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required to conduct clinical trials to advance our BLAs and other potential R&amp;D investments;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required to achieve necessary regulatory approval and establish operations in new markets deemed strategically important toward the enhancement of our global footprint;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manufacturing capacity to advance and expand our existing product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indemnification payments to certain former members of our management team.</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analyzed our ability to address these commitments and potential liabilities for the 12 months extending from the date of the filing of this Quarterly Report. After completing this analysis, which included a review of expectations of revenue, margins, and expenses, we believe that our existing cash and cash from operations will be sufficient to meet our obligations as they come due.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Hayfin Loan Agreement was funded on July 2, 2020 and provided us with a senior secured term loan of $50 million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The Term Loan matures on June 30, 2025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On February 28, 2022 (the “</w:t>
      </w:r>
      <w:r>
        <w:rPr>
          <w:rFonts w:ascii="Arial" w:cs="Arial" w:eastAsia="Arial" w:hAnsi="Arial"/>
          <w:sz w:val="18"/>
          <w:szCs w:val="18"/>
          <w:b w:val="1"/>
          <w:bCs w:val="1"/>
          <w:i w:val="1"/>
          <w:iCs w:val="1"/>
          <w:color w:val="auto"/>
        </w:rPr>
        <w:t>Amendment Date</w:t>
      </w:r>
      <w:r>
        <w:rPr>
          <w:rFonts w:ascii="Arial" w:cs="Arial" w:eastAsia="Arial" w:hAnsi="Arial"/>
          <w:sz w:val="18"/>
          <w:szCs w:val="18"/>
          <w:color w:val="auto"/>
        </w:rPr>
        <w:t>”), we executed an Amendment to the Hayfin Loan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 principal payments are due on the Term Loan until the Maturity Date.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payable on the Term Loan for principal outstanding quarterly through the Maturity Date. The interest rate applicable to any borrowings under the Term Loan is equal to LIBOR (subject to a floor of 1.5%) plus a margin of 6.75%. If LIBOR is unavailable, the loan will carry interest at the greatest of the Prime Rate, the Federal Funds Rate plus 0.5% per annum, and 2.5% plus the 6.75% margin.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additional 3.0% margin would be applied to the interest rate upon the occurrence of an Event of Default as defined in the Hayfin Loan Agreement, as amended (the “</w:t>
      </w:r>
      <w:r>
        <w:rPr>
          <w:rFonts w:ascii="Arial" w:cs="Arial" w:eastAsia="Arial" w:hAnsi="Arial"/>
          <w:sz w:val="18"/>
          <w:szCs w:val="18"/>
          <w:b w:val="1"/>
          <w:bCs w:val="1"/>
          <w:i w:val="1"/>
          <w:iCs w:val="1"/>
          <w:color w:val="auto"/>
        </w:rPr>
        <w:t>Amended Hayfin Loan Agreement</w:t>
      </w:r>
      <w:r>
        <w:rPr>
          <w:rFonts w:ascii="Arial" w:cs="Arial" w:eastAsia="Arial" w:hAnsi="Arial"/>
          <w:sz w:val="18"/>
          <w:szCs w:val="18"/>
          <w:color w:val="auto"/>
        </w:rPr>
        <w:t>”). As of June 30, 2022, the Term Loan carried an interest rate of 9.0%.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(as defined by the Amended Hayfin Loan Agreement) occurs, an additional 3.0% margin is applied to the interest rate until such event of default is cured.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Amended Hayfin Loan Agreement contains financial covenants requiring the Company, on a consolidated basis, to maintain the following:</w:t>
      </w:r>
    </w:p>
    <w:p>
      <w:pPr>
        <w:spacing w:after="0" w:line="183" w:lineRule="exact"/>
        <w:rPr>
          <w:sz w:val="20"/>
          <w:szCs w:val="20"/>
          <w:color w:val="auto"/>
        </w:rPr>
      </w:pPr>
    </w:p>
    <w:p>
      <w:pPr>
        <w:ind w:left="130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Maximum Consolidated Total Net Sales (as defined in the Amended Hayfin Loan Agreement) of varying amounts, required to be calculated on a quarterly basis,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Minimum Liquidity (as defined in the Amended Hayfin Loan Agreement) of $20 million, an at-all-times financial covenant, tested monthly.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are in compliance with all financial covenants required under the Amended Hayfin Loan Agreement.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Amended Hayfin Loan Agreement specifies that any prepayment of the Term Loan, voluntary or mandatory, as defined in the agreement, would subject us to a prepayment premium applicable as of the date of the prepayment, as follows:</w:t>
      </w:r>
    </w:p>
    <w:p>
      <w:pPr>
        <w:spacing w:after="0" w:line="11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or before July 2, 2023: 2% of the principal balance repaid.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July 2, 2023 but on or before July 2, 2024: 1% of the principal balance repaid.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July 2, 2024: no premium.</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Amended Hayfin Loan Agreement also includes certain negative covenants and events of default customary for facilities of this type, and upon the occurrence of such events of default, subject to customary cure rights, all outstanding loans under the Amended Hayfin Loan Agreement may be accelerated or the lenders’ commitments terminated. Mandatory prepayments are also required in the event of a change in control, incurring other indebtedness, certain proceeds from disposal of assets and insured casualty event (as defined in the Amended Hayfin Loan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with the fiscal year ending December 31, 2021, we are required to prepay the outstanding loans based on the percentage of our Excess Cash Flow (as defined in the Amended Hayfin Loan Agreement), if such is generated. To date, we have not been required to make any prepayments under this provision.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100,000 shares of Series B Preferred Stock outstanding as of June 30,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Stock pays a 6.0% cumulative dividend per annum.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in cash, we may elect to accrue the dividend owed to shareholders. Dividend balances accumulate at the prevailing dividend rate for each dividend period for which they are outstanding.</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share of Series B Preferred Stock, including any accrued and unpaid dividends, is convertible into our common stock at any time at the option of the holder at a conversion price of $3.85 per common share, or 259.74 common shares for each share of Series B Preferred Stock prior to any accrued and unpaid dividends. The Series B Preferred Stock, including any accrued and unpaid dividends, automatically converts into common stock at any time after July 2, 2023, provided that the common stock has traded at $7.70 or higher (i) for 20 out of 30 consecutive trading days and (ii) on such date of conversion.</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undergo a change of control, we will have the option to repurchase some or all of the then-outstanding shares of Series B Preferred Stock for cash in an amount equal to the liquidation preference and any accumulated and unpaid dividends, subject to the rights of the holders of the Series B Preferred Stock in connection with such change in control. If we do not exercise such repurchase right, holders of the Series B Preferred Stock will have the option to (1) require us to repurchase any or all of our then-outstanding shares of Series B Preferred Stock for cash in an amount equal to the liquidation preference or (2) convert the Series B Preferred Stock, including accrued and unpaid dividends into common stock and receive its pro rata consideration thereunder.</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declared or paid any cash dividends on our Series B Convertible Preferred Stock since issuance. Dividends accumulated but not paid as of June 30, 2022 were $10.4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repurchase any shares of our common stock, during the three months ended June 30, 2022. The timing and amount of future repurchases, if any, will depend upon our stock price, economic and market conditions, regulatory requirements, and other corporate considerations. We may initiate, suspend or discontinue purchases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Nordic Agreement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we entered into a collaboration agreement (the “</w:t>
      </w:r>
      <w:r>
        <w:rPr>
          <w:rFonts w:ascii="Arial" w:cs="Arial" w:eastAsia="Arial" w:hAnsi="Arial"/>
          <w:sz w:val="18"/>
          <w:szCs w:val="18"/>
          <w:b w:val="1"/>
          <w:bCs w:val="1"/>
          <w:i w:val="1"/>
          <w:iCs w:val="1"/>
          <w:color w:val="auto"/>
        </w:rPr>
        <w:t>Nordic Agreement</w:t>
      </w:r>
      <w:r>
        <w:rPr>
          <w:rFonts w:ascii="Arial" w:cs="Arial" w:eastAsia="Arial" w:hAnsi="Arial"/>
          <w:sz w:val="18"/>
          <w:szCs w:val="18"/>
          <w:color w:val="auto"/>
        </w:rPr>
        <w:t>”) with Nordic Bioscience Clinical Development A/S (“</w:t>
      </w:r>
      <w:r>
        <w:rPr>
          <w:rFonts w:ascii="Arial" w:cs="Arial" w:eastAsia="Arial" w:hAnsi="Arial"/>
          <w:sz w:val="18"/>
          <w:szCs w:val="18"/>
          <w:b w:val="1"/>
          <w:bCs w:val="1"/>
          <w:i w:val="1"/>
          <w:iCs w:val="1"/>
          <w:color w:val="auto"/>
        </w:rPr>
        <w:t>NBCD</w:t>
      </w:r>
      <w:r>
        <w:rPr>
          <w:rFonts w:ascii="Arial" w:cs="Arial" w:eastAsia="Arial" w:hAnsi="Arial"/>
          <w:sz w:val="18"/>
          <w:szCs w:val="18"/>
          <w:color w:val="auto"/>
        </w:rPr>
        <w:t>”) to provide full operational support for our upcoming Knee Osteoarthritis clinical trial program, which we expect to begin later this year. As part of the agreement, NBCD will perform site selection and monitoring, manage patient recruitment and enrollment, data management, statistical analysis and reporting activities for the duration of the trial.</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Nordic Agreement, we are obligated to pay $13.3 million upon the achievement of specified milestones over the course of the clinical trial, including $2.0 million within 30 days of execution of the agreement. The milestones are based upon various factors including, but not limited to, site selection and enrollment, patient enrollment, patient completion, and certain other activities related to start-up and close-out. The milestone payments are revised semi-annually based on fluctuations in the consumer price index.</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ability to terminate the Nordic Agreement with 30 days written notice to NBCD. At such time, we would be required to pay for services performed through the date of termination and any non-cancelable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payments have been made under the Nordic Agreement as of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obligations discussed above, there were no significant changes to our contractual obligations during the six months ended June 30, 2022 from those disclosed in the section Item 7, “</w:t>
      </w:r>
      <w:r>
        <w:rPr>
          <w:rFonts w:ascii="Arial" w:cs="Arial" w:eastAsia="Arial" w:hAnsi="Arial"/>
          <w:sz w:val="18"/>
          <w:szCs w:val="18"/>
          <w:i w:val="1"/>
          <w:iCs w:val="1"/>
          <w:color w:val="auto"/>
        </w:rPr>
        <w:t>Management’s Discussion and Analysis of Financial Condition and Results from Operations</w:t>
      </w:r>
      <w:r>
        <w:rPr>
          <w:rFonts w:ascii="Arial" w:cs="Arial" w:eastAsia="Arial" w:hAnsi="Arial"/>
          <w:sz w:val="18"/>
          <w:szCs w:val="18"/>
          <w:color w:val="auto"/>
        </w:rPr>
        <w:t>”, in our 2021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preparing financial statements, we follow accounting principles generally accepted in the United States, which require us to make certain estimates and apply judgments that affect our financial position and results of operations. We regularly review our accounting policies and financial information disclosures. A summary of critical accounting estimates in preparing the financial statements was provided in our 2021 Form 10-K. During the quarter covered by this report, there were no material changes to the accounting policies and assumptions previously disclosed.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940"/>
        <w:spacing w:after="0" w:line="446" w:lineRule="auto"/>
        <w:rPr>
          <w:sz w:val="20"/>
          <w:szCs w:val="20"/>
          <w:color w:val="auto"/>
        </w:rPr>
      </w:pPr>
      <w:r>
        <w:rPr>
          <w:rFonts w:ascii="Arial" w:cs="Arial" w:eastAsia="Arial" w:hAnsi="Arial"/>
          <w:sz w:val="18"/>
          <w:szCs w:val="18"/>
          <w:color w:val="auto"/>
        </w:rPr>
        <w:t xml:space="preserve">For the effect of recent accounting pronouncements, see Note 2 to the unaudited condensed consolidated financial statements contained herein. </w:t>
      </w:r>
      <w:r>
        <w:rPr>
          <w:rFonts w:ascii="Arial" w:cs="Arial" w:eastAsia="Arial" w:hAnsi="Arial"/>
          <w:sz w:val="18"/>
          <w:szCs w:val="18"/>
          <w:b w:val="1"/>
          <w:bCs w:val="1"/>
          <w:color w:val="auto"/>
        </w:rPr>
        <w:t>Item 3. Quantitative and Qualitative Disclosures about Market Risk</w:t>
      </w:r>
    </w:p>
    <w:p>
      <w:pPr>
        <w:jc w:val="both"/>
        <w:spacing w:after="0" w:line="277" w:lineRule="auto"/>
        <w:rPr>
          <w:sz w:val="20"/>
          <w:szCs w:val="20"/>
          <w:color w:val="auto"/>
        </w:rPr>
      </w:pPr>
      <w:r>
        <w:rPr>
          <w:rFonts w:ascii="Arial" w:cs="Arial" w:eastAsia="Arial" w:hAnsi="Arial"/>
          <w:sz w:val="18"/>
          <w:szCs w:val="18"/>
          <w:color w:val="auto"/>
        </w:rPr>
        <w:t>Based on our lack of market risk sensitive instruments outstanding at June 30, 2022, we have determined that there was no material market risk exposure to our consolidated financial position, results of operations or cash flows as of such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and 15d-15(e)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effective at a reasonable assurance level in ensuring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Chief Executive Officer and Chief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 13a-15(f) and 15d-15(f) of the Exchange Act) that occurred during the fiscal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and its subsidiaries are parties to numerous claims and lawsuits arising in the ordinary course of its business activities, some of which involve claims for substantial amounts. The ultimate outcome of these suits cannot be ascertained at this time. The description of our securities class action contained in </w:t>
      </w:r>
      <w:hyperlink w:anchor="page21">
        <w:r>
          <w:rPr>
            <w:rFonts w:ascii="Arial" w:cs="Arial" w:eastAsia="Arial" w:hAnsi="Arial"/>
            <w:sz w:val="18"/>
            <w:szCs w:val="18"/>
            <w:u w:val="single" w:color="auto"/>
            <w:color w:val="0000FF"/>
          </w:rPr>
          <w:t>Note 13, “Commitments and Contingencies,</w:t>
        </w:r>
      </w:hyperlink>
      <w:r>
        <w:rPr>
          <w:rFonts w:ascii="Arial" w:cs="Arial" w:eastAsia="Arial" w:hAnsi="Arial"/>
          <w:sz w:val="18"/>
          <w:szCs w:val="18"/>
          <w:color w:val="auto"/>
        </w:rPr>
        <w:t>” to the unaudited condensed consolidated financial statements included in Part I, Item 1 of this Quarterly Report,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risk factors included in its 2021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333333"/>
        </w:rPr>
      </w:pPr>
      <w:r>
        <w:rPr>
          <w:rFonts w:ascii="Arial" w:cs="Arial" w:eastAsia="Arial" w:hAnsi="Arial"/>
          <w:sz w:val="18"/>
          <w:szCs w:val="18"/>
          <w:color w:val="333333"/>
        </w:rPr>
        <w:t>None.</w:t>
      </w:r>
    </w:p>
    <w:p>
      <w:pPr>
        <w:spacing w:after="0" w:line="252" w:lineRule="exact"/>
        <w:rPr>
          <w:rFonts w:ascii="Arial" w:cs="Arial" w:eastAsia="Arial" w:hAnsi="Arial"/>
          <w:sz w:val="18"/>
          <w:szCs w:val="18"/>
          <w:color w:val="333333"/>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right="20" w:firstLine="8"/>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sets forth information regarding the purchases of the Company’s equity securities made by or on behalf of the Company or any affiliated purchaser (as defined in Exchange Act Rule 10b-18) during the three month period ended June 30, 2022: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6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 number</w:t>
            </w: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ind w:left="500"/>
              <w:spacing w:after="0"/>
              <w:rPr>
                <w:sz w:val="20"/>
                <w:szCs w:val="20"/>
                <w:color w:val="auto"/>
              </w:rPr>
            </w:pPr>
            <w:r>
              <w:rPr>
                <w:rFonts w:ascii="Arial" w:cs="Arial" w:eastAsia="Arial" w:hAnsi="Arial"/>
                <w:sz w:val="18"/>
                <w:szCs w:val="18"/>
                <w:color w:val="auto"/>
              </w:rPr>
              <w:t>Total number</w:t>
            </w:r>
          </w:p>
        </w:tc>
        <w:tc>
          <w:tcPr>
            <w:tcW w:w="2080" w:type="dxa"/>
            <w:vAlign w:val="bottom"/>
            <w:gridSpan w:val="2"/>
          </w:tcPr>
          <w:p>
            <w:pPr>
              <w:ind w:left="540"/>
              <w:spacing w:after="0"/>
              <w:rPr>
                <w:sz w:val="20"/>
                <w:szCs w:val="20"/>
                <w:color w:val="auto"/>
              </w:rPr>
            </w:pPr>
            <w:r>
              <w:rPr>
                <w:rFonts w:ascii="Arial" w:cs="Arial" w:eastAsia="Arial" w:hAnsi="Arial"/>
                <w:sz w:val="18"/>
                <w:szCs w:val="18"/>
                <w:color w:val="auto"/>
                <w:w w:val="99"/>
              </w:rPr>
              <w:t>Approximate Dollar</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060" w:type="dxa"/>
            <w:vAlign w:val="bottom"/>
            <w:gridSpan w:val="3"/>
            <w:vMerge w:val="restart"/>
          </w:tcPr>
          <w:p>
            <w:pPr>
              <w:ind w:left="500"/>
              <w:spacing w:after="0"/>
              <w:rPr>
                <w:sz w:val="20"/>
                <w:szCs w:val="20"/>
                <w:color w:val="auto"/>
              </w:rPr>
            </w:pPr>
            <w:r>
              <w:rPr>
                <w:rFonts w:ascii="Arial" w:cs="Arial" w:eastAsia="Arial" w:hAnsi="Arial"/>
                <w:sz w:val="18"/>
                <w:szCs w:val="18"/>
                <w:color w:val="auto"/>
              </w:rPr>
              <w:t>Average price paid</w:t>
            </w:r>
          </w:p>
        </w:tc>
        <w:tc>
          <w:tcPr>
            <w:tcW w:w="16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7"/>
              </w:rPr>
              <w:t>of shares purchased</w:t>
            </w:r>
          </w:p>
        </w:tc>
        <w:tc>
          <w:tcPr>
            <w:tcW w:w="20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Value of Shares that May</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6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of</w:t>
            </w:r>
          </w:p>
        </w:tc>
        <w:tc>
          <w:tcPr>
            <w:tcW w:w="2060" w:type="dxa"/>
            <w:vAlign w:val="bottom"/>
            <w:gridSpan w:val="3"/>
            <w:vMerge w:val="continue"/>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under publicly</w:t>
            </w:r>
          </w:p>
        </w:tc>
        <w:tc>
          <w:tcPr>
            <w:tcW w:w="20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Yet Be Purchased Under</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shares purchased</w:t>
            </w:r>
          </w:p>
        </w:tc>
        <w:tc>
          <w:tcPr>
            <w:tcW w:w="60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per share</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announced plan</w:t>
            </w:r>
          </w:p>
        </w:tc>
        <w:tc>
          <w:tcPr>
            <w:tcW w:w="1760" w:type="dxa"/>
            <w:vAlign w:val="bottom"/>
          </w:tcPr>
          <w:p>
            <w:pPr>
              <w:jc w:val="center"/>
              <w:ind w:left="230"/>
              <w:spacing w:after="0"/>
              <w:rPr>
                <w:sz w:val="20"/>
                <w:szCs w:val="20"/>
                <w:color w:val="auto"/>
              </w:rPr>
            </w:pPr>
            <w:r>
              <w:rPr>
                <w:rFonts w:ascii="Arial" w:cs="Arial" w:eastAsia="Arial" w:hAnsi="Arial"/>
                <w:sz w:val="18"/>
                <w:szCs w:val="18"/>
                <w:color w:val="auto"/>
                <w:w w:val="88"/>
              </w:rPr>
              <w:t>Plans or Programs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April 1 - April 30, 2022</w:t>
            </w: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jc w:val="right"/>
              <w:ind w:right="730"/>
              <w:spacing w:after="0"/>
              <w:rPr>
                <w:sz w:val="20"/>
                <w:szCs w:val="20"/>
                <w:color w:val="auto"/>
              </w:rPr>
            </w:pPr>
            <w:r>
              <w:rPr>
                <w:rFonts w:ascii="Arial" w:cs="Arial" w:eastAsia="Arial" w:hAnsi="Arial"/>
                <w:sz w:val="18"/>
                <w:szCs w:val="18"/>
                <w:color w:val="auto"/>
              </w:rPr>
              <w:t>May 1 - May 31, 2022</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June 1 - June 30, 2022</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jc w:val="right"/>
              <w:ind w:right="730"/>
              <w:spacing w:after="0"/>
              <w:rPr>
                <w:sz w:val="20"/>
                <w:szCs w:val="20"/>
                <w:color w:val="auto"/>
              </w:rPr>
            </w:pPr>
            <w:r>
              <w:rPr>
                <w:rFonts w:ascii="Arial" w:cs="Arial" w:eastAsia="Arial" w:hAnsi="Arial"/>
                <w:sz w:val="18"/>
                <w:szCs w:val="18"/>
                <w:color w:val="auto"/>
              </w:rPr>
              <w:t>Total for the quarter</w:t>
            </w:r>
          </w:p>
        </w:tc>
        <w:tc>
          <w:tcPr>
            <w:tcW w:w="150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8"/>
              </w:rPr>
              <w:t>Item 3.</w:t>
            </w:r>
          </w:p>
        </w:tc>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80" w:type="dxa"/>
            <w:vAlign w:val="bottom"/>
            <w:vMerge w:val="continue"/>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5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4.</w:t>
            </w:r>
          </w:p>
        </w:tc>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5.</w:t>
            </w:r>
          </w:p>
        </w:tc>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3"/>
              </w:rPr>
              <w:t>Item 6. Exhibits</w:t>
            </w:r>
          </w:p>
        </w:tc>
        <w:tc>
          <w:tcPr>
            <w:tcW w:w="8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9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82"/>
              </w:rPr>
              <w:t>Number</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7"/>
              </w:rPr>
              <w:t>31.1 #</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680" w:type="dxa"/>
            <w:vAlign w:val="bottom"/>
            <w:gridSpan w:val="5"/>
            <w:shd w:val="clear" w:color="auto" w:fill="BFE4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 xml:space="preserve">Certification of Chief Executive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c>
          <w:tcPr>
            <w:tcW w:w="0" w:type="dxa"/>
            <w:vAlign w:val="bottom"/>
          </w:tcPr>
          <w:p>
            <w:pPr>
              <w:spacing w:after="0"/>
              <w:rPr>
                <w:sz w:val="1"/>
                <w:szCs w:val="1"/>
                <w:color w:val="auto"/>
              </w:rPr>
            </w:pPr>
          </w:p>
        </w:tc>
      </w:tr>
      <w:tr>
        <w:trPr>
          <w:trHeight w:val="20"/>
        </w:trPr>
        <w:tc>
          <w:tcPr>
            <w:tcW w:w="3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880" w:type="dxa"/>
            <w:vAlign w:val="bottom"/>
            <w:tcBorders>
              <w:top w:val="single" w:sz="8" w:color="0000FF"/>
            </w:tcBorders>
            <w:shd w:val="clear" w:color="auto" w:fill="BFE4FF"/>
          </w:tcPr>
          <w:p>
            <w:pPr>
              <w:spacing w:after="0" w:line="20" w:lineRule="exact"/>
              <w:rPr>
                <w:sz w:val="1"/>
                <w:szCs w:val="1"/>
                <w:color w:val="auto"/>
              </w:rPr>
            </w:pPr>
          </w:p>
        </w:tc>
        <w:tc>
          <w:tcPr>
            <w:tcW w:w="18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80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87"/>
              </w:rPr>
              <w:t>31.2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gridSpan w:val="5"/>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 xml:space="preserve">Certification of Chief Financial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302 of the Sarbanes-Oxley Act of 2002.</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shd w:val="clear" w:color="auto" w:fill="BFE4FF"/>
          </w:tcPr>
          <w:p>
            <w:pPr>
              <w:jc w:val="center"/>
              <w:ind w:left="250"/>
              <w:spacing w:after="0" w:line="189" w:lineRule="exact"/>
              <w:rPr>
                <w:sz w:val="20"/>
                <w:szCs w:val="20"/>
                <w:color w:val="auto"/>
              </w:rPr>
            </w:pPr>
            <w:r>
              <w:rPr>
                <w:rFonts w:ascii="Arial" w:cs="Arial" w:eastAsia="Arial" w:hAnsi="Arial"/>
                <w:sz w:val="18"/>
                <w:szCs w:val="18"/>
                <w:color w:val="auto"/>
                <w:w w:val="87"/>
              </w:rPr>
              <w:t>32.1 #</w:t>
            </w:r>
          </w:p>
        </w:tc>
        <w:tc>
          <w:tcPr>
            <w:tcW w:w="4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9680" w:type="dxa"/>
            <w:vAlign w:val="bottom"/>
            <w:gridSpan w:val="5"/>
            <w:shd w:val="clear" w:color="auto" w:fill="BFE4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 xml:space="preserve">Certification of Chief Executive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c>
          <w:tcPr>
            <w:tcW w:w="0" w:type="dxa"/>
            <w:vAlign w:val="bottom"/>
          </w:tcPr>
          <w:p>
            <w:pPr>
              <w:spacing w:after="0"/>
              <w:rPr>
                <w:sz w:val="1"/>
                <w:szCs w:val="1"/>
                <w:color w:val="auto"/>
              </w:rPr>
            </w:pPr>
          </w:p>
        </w:tc>
      </w:tr>
      <w:tr>
        <w:trPr>
          <w:trHeight w:val="20"/>
        </w:trPr>
        <w:tc>
          <w:tcPr>
            <w:tcW w:w="30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56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880" w:type="dxa"/>
            <w:vAlign w:val="bottom"/>
            <w:tcBorders>
              <w:top w:val="single" w:sz="8" w:color="0000FF"/>
            </w:tcBorders>
            <w:shd w:val="clear" w:color="auto" w:fill="BFE4FF"/>
          </w:tcPr>
          <w:p>
            <w:pPr>
              <w:spacing w:after="0" w:line="20" w:lineRule="exact"/>
              <w:rPr>
                <w:sz w:val="1"/>
                <w:szCs w:val="1"/>
                <w:color w:val="auto"/>
              </w:rPr>
            </w:pPr>
          </w:p>
        </w:tc>
        <w:tc>
          <w:tcPr>
            <w:tcW w:w="1860" w:type="dxa"/>
            <w:vAlign w:val="bottom"/>
            <w:tcBorders>
              <w:top w:val="single" w:sz="8" w:color="0000FF"/>
            </w:tcBorders>
            <w:shd w:val="clear" w:color="auto" w:fill="BFE4FF"/>
          </w:tcPr>
          <w:p>
            <w:pPr>
              <w:spacing w:after="0" w:line="20" w:lineRule="exact"/>
              <w:rPr>
                <w:sz w:val="1"/>
                <w:szCs w:val="1"/>
                <w:color w:val="auto"/>
              </w:rPr>
            </w:pPr>
          </w:p>
        </w:tc>
        <w:tc>
          <w:tcPr>
            <w:tcW w:w="80" w:type="dxa"/>
            <w:vAlign w:val="bottom"/>
            <w:tcBorders>
              <w:top w:val="single" w:sz="8" w:color="0000FF"/>
            </w:tcBorders>
            <w:shd w:val="clear" w:color="auto" w:fill="BFE4FF"/>
          </w:tcPr>
          <w:p>
            <w:pPr>
              <w:spacing w:after="0" w:line="20" w:lineRule="exact"/>
              <w:rPr>
                <w:sz w:val="1"/>
                <w:szCs w:val="1"/>
                <w:color w:val="auto"/>
              </w:rPr>
            </w:pPr>
          </w:p>
        </w:tc>
        <w:tc>
          <w:tcPr>
            <w:tcW w:w="60" w:type="dxa"/>
            <w:vAlign w:val="bottom"/>
            <w:tcBorders>
              <w:top w:val="single" w:sz="8" w:color="0000FF"/>
            </w:tcBorders>
            <w:shd w:val="clear" w:color="auto" w:fill="BFE4FF"/>
          </w:tcPr>
          <w:p>
            <w:pPr>
              <w:spacing w:after="0" w:line="20" w:lineRule="exact"/>
              <w:rPr>
                <w:sz w:val="1"/>
                <w:szCs w:val="1"/>
                <w:color w:val="auto"/>
              </w:rPr>
            </w:pPr>
          </w:p>
        </w:tc>
        <w:tc>
          <w:tcPr>
            <w:tcW w:w="6800" w:type="dxa"/>
            <w:vAlign w:val="bottom"/>
            <w:tcBorders>
              <w:top w:val="single" w:sz="8" w:color="BFE4FF"/>
            </w:tcBorders>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3"/>
          </w:tcPr>
          <w:p>
            <w:pPr>
              <w:jc w:val="center"/>
              <w:ind w:left="250"/>
              <w:spacing w:after="0" w:line="189" w:lineRule="exact"/>
              <w:rPr>
                <w:sz w:val="20"/>
                <w:szCs w:val="20"/>
                <w:color w:val="auto"/>
              </w:rPr>
            </w:pPr>
            <w:r>
              <w:rPr>
                <w:rFonts w:ascii="Arial" w:cs="Arial" w:eastAsia="Arial" w:hAnsi="Arial"/>
                <w:sz w:val="18"/>
                <w:szCs w:val="18"/>
                <w:color w:val="auto"/>
                <w:w w:val="87"/>
              </w:rPr>
              <w:t>32.2 #</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gridSpan w:val="5"/>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 xml:space="preserve">Certification of Chief Financial Officer </w:t>
              </w:r>
            </w:hyperlink>
            <w:r>
              <w:rPr>
                <w:rFonts w:ascii="Arial" w:cs="Arial" w:eastAsia="Arial" w:hAnsi="Arial"/>
                <w:sz w:val="18"/>
                <w:szCs w:val="18"/>
                <w:color w:val="000000"/>
              </w:rPr>
              <w:t>pursuant</w:t>
            </w:r>
            <w:r>
              <w:rPr>
                <w:rFonts w:ascii="Arial" w:cs="Arial" w:eastAsia="Arial" w:hAnsi="Arial"/>
                <w:sz w:val="18"/>
                <w:szCs w:val="18"/>
                <w:color w:val="0000FF"/>
              </w:rPr>
              <w:t xml:space="preserve"> </w:t>
            </w:r>
            <w:r>
              <w:rPr>
                <w:rFonts w:ascii="Arial" w:cs="Arial" w:eastAsia="Arial" w:hAnsi="Arial"/>
                <w:sz w:val="18"/>
                <w:szCs w:val="18"/>
                <w:color w:val="000000"/>
              </w:rPr>
              <w:t>to Section 906 of the Sarbanes-Oxley Act of 2002.</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gridSpan w:val="5"/>
            <w:shd w:val="clear" w:color="auto" w:fill="BFE4FF"/>
          </w:tcPr>
          <w:p>
            <w:pPr>
              <w:jc w:val="center"/>
              <w:ind w:right="280"/>
              <w:spacing w:after="0"/>
              <w:rPr>
                <w:sz w:val="20"/>
                <w:szCs w:val="20"/>
                <w:color w:val="auto"/>
              </w:rPr>
            </w:pPr>
            <w:r>
              <w:rPr>
                <w:rFonts w:ascii="Arial" w:cs="Arial" w:eastAsia="Arial" w:hAnsi="Arial"/>
                <w:sz w:val="18"/>
                <w:szCs w:val="18"/>
                <w:color w:val="auto"/>
                <w:w w:val="92"/>
              </w:rPr>
              <w:t>101.INS #</w:t>
            </w:r>
          </w:p>
        </w:tc>
        <w:tc>
          <w:tcPr>
            <w:tcW w:w="9680" w:type="dxa"/>
            <w:vAlign w:val="bottom"/>
            <w:gridSpan w:val="5"/>
            <w:shd w:val="clear" w:color="auto" w:fill="BFE4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54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101.SCH #</w:t>
            </w:r>
          </w:p>
        </w:tc>
        <w:tc>
          <w:tcPr>
            <w:tcW w:w="96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54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94"/>
              </w:rPr>
              <w:t>101.CAL #</w:t>
            </w:r>
          </w:p>
        </w:tc>
        <w:tc>
          <w:tcPr>
            <w:tcW w:w="9680" w:type="dxa"/>
            <w:vAlign w:val="bottom"/>
            <w:gridSpan w:val="5"/>
            <w:shd w:val="clear" w:color="auto" w:fill="BFE4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54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101.DEF #</w:t>
            </w:r>
          </w:p>
        </w:tc>
        <w:tc>
          <w:tcPr>
            <w:tcW w:w="96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540" w:type="dxa"/>
            <w:vAlign w:val="bottom"/>
            <w:gridSpan w:val="5"/>
            <w:shd w:val="clear" w:color="auto" w:fill="BFE4FF"/>
          </w:tcPr>
          <w:p>
            <w:pPr>
              <w:jc w:val="center"/>
              <w:ind w:right="300"/>
              <w:spacing w:after="0"/>
              <w:rPr>
                <w:sz w:val="20"/>
                <w:szCs w:val="20"/>
                <w:color w:val="auto"/>
              </w:rPr>
            </w:pPr>
            <w:r>
              <w:rPr>
                <w:rFonts w:ascii="Arial" w:cs="Arial" w:eastAsia="Arial" w:hAnsi="Arial"/>
                <w:sz w:val="18"/>
                <w:szCs w:val="18"/>
                <w:color w:val="auto"/>
                <w:w w:val="95"/>
              </w:rPr>
              <w:t>101.LAB #</w:t>
            </w:r>
          </w:p>
        </w:tc>
        <w:tc>
          <w:tcPr>
            <w:tcW w:w="9680" w:type="dxa"/>
            <w:vAlign w:val="bottom"/>
            <w:gridSpan w:val="5"/>
            <w:shd w:val="clear" w:color="auto" w:fill="BFE4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540" w:type="dxa"/>
            <w:vAlign w:val="bottom"/>
            <w:gridSpan w:val="5"/>
          </w:tcPr>
          <w:p>
            <w:pPr>
              <w:jc w:val="center"/>
              <w:ind w:right="280"/>
              <w:spacing w:after="0"/>
              <w:rPr>
                <w:sz w:val="20"/>
                <w:szCs w:val="20"/>
                <w:color w:val="auto"/>
              </w:rPr>
            </w:pPr>
            <w:r>
              <w:rPr>
                <w:rFonts w:ascii="Arial" w:cs="Arial" w:eastAsia="Arial" w:hAnsi="Arial"/>
                <w:sz w:val="18"/>
                <w:szCs w:val="18"/>
                <w:color w:val="auto"/>
                <w:w w:val="89"/>
              </w:rPr>
              <w:t>101.PRE #</w:t>
            </w:r>
          </w:p>
        </w:tc>
        <w:tc>
          <w:tcPr>
            <w:tcW w:w="96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30"/>
        </w:trPr>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6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August 2, 2022</w:t>
      </w:r>
      <w:r>
        <w:rPr>
          <w:sz w:val="20"/>
          <w:szCs w:val="20"/>
          <w:color w:val="auto"/>
        </w:rPr>
        <w:tab/>
      </w:r>
      <w:r>
        <w:rPr>
          <w:rFonts w:ascii="Arial" w:cs="Arial" w:eastAsia="Arial" w:hAnsi="Arial"/>
          <w:sz w:val="17"/>
          <w:szCs w:val="17"/>
          <w:color w:val="auto"/>
        </w:rPr>
        <w:t>MIMEDX GROUP, INC.</w:t>
      </w:r>
    </w:p>
    <w:p>
      <w:pPr>
        <w:spacing w:after="0" w:line="252" w:lineRule="exact"/>
        <w:rPr>
          <w:sz w:val="20"/>
          <w:szCs w:val="20"/>
          <w:color w:val="auto"/>
        </w:rPr>
      </w:pPr>
    </w:p>
    <w:p>
      <w:pPr>
        <w:ind w:left="5520"/>
        <w:spacing w:after="0"/>
        <w:tabs>
          <w:tab w:leader="none" w:pos="6020" w:val="left"/>
        </w:tabs>
        <w:rPr>
          <w:sz w:val="20"/>
          <w:szCs w:val="20"/>
          <w:color w:val="auto"/>
        </w:rPr>
      </w:pPr>
      <w:r>
        <w:rPr>
          <w:rFonts w:ascii="Arial" w:cs="Arial" w:eastAsia="Arial" w:hAnsi="Arial"/>
          <w:sz w:val="18"/>
          <w:szCs w:val="18"/>
          <w:color w:val="auto"/>
        </w:rPr>
        <w:t>By:</w:t>
        <w:tab/>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Peter M. Carlson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Timothy R. Wright, certify that:</w:t>
      </w:r>
    </w:p>
    <w:p>
      <w:pPr>
        <w:spacing w:after="0" w:line="333" w:lineRule="exact"/>
        <w:rPr>
          <w:sz w:val="20"/>
          <w:szCs w:val="20"/>
          <w:color w:val="auto"/>
        </w:rPr>
      </w:pPr>
    </w:p>
    <w:p>
      <w:pPr>
        <w:ind w:left="640" w:hanging="18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MiMedx Group, Inc.;</w:t>
      </w:r>
    </w:p>
    <w:p>
      <w:pPr>
        <w:spacing w:after="0" w:line="103" w:lineRule="exact"/>
        <w:rPr>
          <w:rFonts w:ascii="Arial" w:cs="Arial" w:eastAsia="Arial" w:hAnsi="Arial"/>
          <w:sz w:val="18"/>
          <w:szCs w:val="18"/>
          <w:color w:val="auto"/>
        </w:rPr>
      </w:pPr>
    </w:p>
    <w:p>
      <w:pPr>
        <w:ind w:firstLine="453"/>
        <w:spacing w:after="0" w:line="342" w:lineRule="auto"/>
        <w:tabs>
          <w:tab w:leader="none" w:pos="6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firstLine="453"/>
        <w:spacing w:after="0" w:line="277" w:lineRule="auto"/>
        <w:tabs>
          <w:tab w:leader="none" w:pos="6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453"/>
        <w:spacing w:after="0" w:line="263" w:lineRule="auto"/>
        <w:tabs>
          <w:tab w:leader="none" w:pos="6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jc w:val="both"/>
        <w:ind w:firstLine="453"/>
        <w:spacing w:after="0" w:line="263" w:lineRule="auto"/>
        <w:tabs>
          <w:tab w:leader="none" w:pos="7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firstLine="453"/>
        <w:spacing w:after="0" w:line="263" w:lineRule="auto"/>
        <w:tabs>
          <w:tab w:leader="none" w:pos="7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firstLine="453"/>
        <w:spacing w:after="0" w:line="308" w:lineRule="auto"/>
        <w:tabs>
          <w:tab w:leader="none" w:pos="7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firstLine="453"/>
        <w:spacing w:after="0" w:line="263"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firstLine="453"/>
        <w:spacing w:after="0" w:line="308" w:lineRule="auto"/>
        <w:tabs>
          <w:tab w:leader="none" w:pos="6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53"/>
        <w:spacing w:after="0" w:line="277" w:lineRule="auto"/>
        <w:tabs>
          <w:tab w:leader="none" w:pos="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firstLine="453"/>
        <w:spacing w:after="0" w:line="277" w:lineRule="auto"/>
        <w:tabs>
          <w:tab w:leader="none" w:pos="7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tcPr>
          <w:p>
            <w:pPr>
              <w:ind w:left="200"/>
              <w:spacing w:after="0"/>
              <w:rPr>
                <w:sz w:val="20"/>
                <w:szCs w:val="20"/>
                <w:color w:val="auto"/>
              </w:rPr>
            </w:pPr>
            <w:r>
              <w:rPr>
                <w:rFonts w:ascii="Arial" w:cs="Arial" w:eastAsia="Arial" w:hAnsi="Arial"/>
                <w:sz w:val="18"/>
                <w:szCs w:val="18"/>
                <w:color w:val="auto"/>
              </w:rPr>
              <w:t>August 2, 2022</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Wright</w:t>
            </w:r>
          </w:p>
        </w:tc>
      </w:tr>
      <w:tr>
        <w:trPr>
          <w:trHeight w:val="222"/>
        </w:trPr>
        <w:tc>
          <w:tcPr>
            <w:tcW w:w="6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Timothy R. Wright</w:t>
            </w:r>
          </w:p>
        </w:tc>
      </w:tr>
      <w:tr>
        <w:trPr>
          <w:trHeight w:val="230"/>
        </w:trPr>
        <w:tc>
          <w:tcPr>
            <w:tcW w:w="6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M. Carlson, certify that:</w:t>
      </w:r>
    </w:p>
    <w:p>
      <w:pPr>
        <w:spacing w:after="0" w:line="200" w:lineRule="exact"/>
        <w:rPr>
          <w:sz w:val="20"/>
          <w:szCs w:val="20"/>
          <w:color w:val="auto"/>
        </w:rPr>
      </w:pPr>
    </w:p>
    <w:p>
      <w:pPr>
        <w:spacing w:after="0" w:line="228" w:lineRule="exact"/>
        <w:rPr>
          <w:sz w:val="20"/>
          <w:szCs w:val="20"/>
          <w:color w:val="auto"/>
        </w:rPr>
      </w:pPr>
    </w:p>
    <w:p>
      <w:pPr>
        <w:ind w:left="640" w:hanging="18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2022, of MiMedx Group, Inc.;</w:t>
      </w:r>
    </w:p>
    <w:p>
      <w:pPr>
        <w:spacing w:after="0" w:line="103" w:lineRule="exact"/>
        <w:rPr>
          <w:rFonts w:ascii="Arial" w:cs="Arial" w:eastAsia="Arial" w:hAnsi="Arial"/>
          <w:sz w:val="18"/>
          <w:szCs w:val="18"/>
          <w:color w:val="auto"/>
        </w:rPr>
      </w:pPr>
    </w:p>
    <w:p>
      <w:pPr>
        <w:ind w:firstLine="453"/>
        <w:spacing w:after="0" w:line="334" w:lineRule="auto"/>
        <w:tabs>
          <w:tab w:leader="none" w:pos="6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453"/>
        <w:spacing w:after="0" w:line="277"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453"/>
        <w:spacing w:after="0" w:line="263" w:lineRule="auto"/>
        <w:tabs>
          <w:tab w:leader="none" w:pos="6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jc w:val="both"/>
        <w:ind w:firstLine="453"/>
        <w:spacing w:after="0" w:line="263" w:lineRule="auto"/>
        <w:tabs>
          <w:tab w:leader="none" w:pos="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firstLine="453"/>
        <w:spacing w:after="0" w:line="263" w:lineRule="auto"/>
        <w:tabs>
          <w:tab w:leader="none" w:pos="7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firstLine="453"/>
        <w:spacing w:after="0" w:line="308" w:lineRule="auto"/>
        <w:tabs>
          <w:tab w:leader="none" w:pos="7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firstLine="453"/>
        <w:spacing w:after="0" w:line="263"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firstLine="453"/>
        <w:spacing w:after="0" w:line="308" w:lineRule="auto"/>
        <w:tabs>
          <w:tab w:leader="none" w:pos="6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firstLine="453"/>
        <w:spacing w:after="0" w:line="277" w:lineRule="auto"/>
        <w:tabs>
          <w:tab w:leader="none" w:pos="7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firstLine="453"/>
        <w:spacing w:after="0" w:line="277" w:lineRule="auto"/>
        <w:tabs>
          <w:tab w:leader="none" w:pos="7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6360" w:type="dxa"/>
            <w:vAlign w:val="bottom"/>
          </w:tcPr>
          <w:p>
            <w:pPr>
              <w:ind w:left="200"/>
              <w:spacing w:after="0"/>
              <w:rPr>
                <w:sz w:val="20"/>
                <w:szCs w:val="20"/>
                <w:color w:val="auto"/>
              </w:rPr>
            </w:pPr>
            <w:r>
              <w:rPr>
                <w:rFonts w:ascii="Arial" w:cs="Arial" w:eastAsia="Arial" w:hAnsi="Arial"/>
                <w:sz w:val="18"/>
                <w:szCs w:val="18"/>
                <w:color w:val="auto"/>
              </w:rPr>
              <w:t>August 2, 2022</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M. Carlson</w:t>
            </w:r>
          </w:p>
        </w:tc>
      </w:tr>
      <w:tr>
        <w:trPr>
          <w:trHeight w:val="222"/>
        </w:trPr>
        <w:tc>
          <w:tcPr>
            <w:tcW w:w="60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Peter M. Carlson</w:t>
            </w:r>
          </w:p>
        </w:tc>
      </w:tr>
      <w:tr>
        <w:trPr>
          <w:trHeight w:val="230"/>
        </w:trPr>
        <w:tc>
          <w:tcPr>
            <w:tcW w:w="6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83" w:lineRule="exact"/>
        <w:rPr>
          <w:sz w:val="20"/>
          <w:szCs w:val="20"/>
          <w:color w:val="auto"/>
        </w:rPr>
      </w:pPr>
    </w:p>
    <w:p>
      <w:pPr>
        <w:jc w:val="both"/>
        <w:ind w:firstLine="188"/>
        <w:spacing w:after="0" w:line="290" w:lineRule="auto"/>
        <w:rPr>
          <w:sz w:val="20"/>
          <w:szCs w:val="20"/>
          <w:color w:val="auto"/>
        </w:rPr>
      </w:pPr>
      <w:r>
        <w:rPr>
          <w:rFonts w:ascii="Arial" w:cs="Arial" w:eastAsia="Arial" w:hAnsi="Arial"/>
          <w:sz w:val="18"/>
          <w:szCs w:val="18"/>
          <w:color w:val="auto"/>
        </w:rPr>
        <w:t>The undersigned Timothy R. Wright, the Chief Executive Officer of MiMedx Group, Inc. (the “Company”), has executed this certification in connection with the filing with the Securities and Exchange Commission of the Company’s Quarterly Report on Form 10-Q for the quarter ending June 30, 2022 (the “Report”). Pursuant to 18 U.S.C. Section 1350, as adopted pursuant to Section 906 of the Sarbanes-Oxley Act of 2002, the undersigned hereby certifies, to his knowledge, that:</w:t>
      </w:r>
    </w:p>
    <w:p>
      <w:pPr>
        <w:spacing w:after="0" w:line="269"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400" w:type="dxa"/>
            <w:vAlign w:val="bottom"/>
          </w:tcPr>
          <w:p>
            <w:pPr>
              <w:ind w:left="140"/>
              <w:spacing w:after="0"/>
              <w:rPr>
                <w:sz w:val="20"/>
                <w:szCs w:val="20"/>
                <w:color w:val="auto"/>
              </w:rPr>
            </w:pPr>
            <w:r>
              <w:rPr>
                <w:rFonts w:ascii="Arial" w:cs="Arial" w:eastAsia="Arial" w:hAnsi="Arial"/>
                <w:sz w:val="18"/>
                <w:szCs w:val="18"/>
                <w:color w:val="auto"/>
              </w:rPr>
              <w:t>August 2, 2022</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Wright</w:t>
            </w:r>
          </w:p>
        </w:tc>
      </w:tr>
      <w:tr>
        <w:trPr>
          <w:trHeight w:val="222"/>
        </w:trPr>
        <w:tc>
          <w:tcPr>
            <w:tcW w:w="5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Timothy R. Wright</w:t>
            </w:r>
          </w:p>
        </w:tc>
      </w:tr>
      <w:tr>
        <w:trPr>
          <w:trHeight w:val="230"/>
        </w:trPr>
        <w:tc>
          <w:tcPr>
            <w:tcW w:w="5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83" w:lineRule="exact"/>
        <w:rPr>
          <w:sz w:val="20"/>
          <w:szCs w:val="20"/>
          <w:color w:val="auto"/>
        </w:rPr>
      </w:pPr>
    </w:p>
    <w:p>
      <w:pPr>
        <w:jc w:val="both"/>
        <w:ind w:firstLine="222"/>
        <w:spacing w:after="0" w:line="290" w:lineRule="auto"/>
        <w:rPr>
          <w:sz w:val="20"/>
          <w:szCs w:val="20"/>
          <w:color w:val="auto"/>
        </w:rPr>
      </w:pPr>
      <w:r>
        <w:rPr>
          <w:rFonts w:ascii="Arial" w:cs="Arial" w:eastAsia="Arial" w:hAnsi="Arial"/>
          <w:sz w:val="18"/>
          <w:szCs w:val="18"/>
          <w:color w:val="auto"/>
        </w:rPr>
        <w:t>The undersigned Peter M. Carlson, the Chief Financial Officer of MiMedx Group, Inc. (the “Company”), has executed this certification in connection with the filing with the Securities and Exchange Commission of the Company’s Quarterly Report on Form 10-Q for the quarter ending June 30, 2022 (the “Report”). Pursuant to 18 U.S.C. Section 1350, as adopted pursuant to Section 906 of the Sarbanes-Oxley Act of 2002, the undersigned hereby certifies, to his knowledge, that:</w:t>
      </w:r>
    </w:p>
    <w:p>
      <w:pPr>
        <w:spacing w:after="0" w:line="26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220"/>
              <w:spacing w:after="0"/>
              <w:rPr>
                <w:sz w:val="20"/>
                <w:szCs w:val="20"/>
                <w:color w:val="auto"/>
              </w:rPr>
            </w:pPr>
            <w:r>
              <w:rPr>
                <w:rFonts w:ascii="Arial" w:cs="Arial" w:eastAsia="Arial" w:hAnsi="Arial"/>
                <w:sz w:val="18"/>
                <w:szCs w:val="18"/>
                <w:color w:val="auto"/>
              </w:rPr>
              <w:t>August 2, 2022</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M. Carlson</w:t>
            </w:r>
          </w:p>
        </w:tc>
      </w:tr>
      <w:tr>
        <w:trPr>
          <w:trHeight w:val="222"/>
        </w:trPr>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Peter M. Carlson</w:t>
            </w:r>
          </w:p>
        </w:tc>
      </w:tr>
      <w:tr>
        <w:trPr>
          <w:trHeight w:val="230"/>
        </w:trPr>
        <w:tc>
          <w:tcPr>
            <w:tcW w:w="6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upperLetter"/>
      <w:start w:val="30"/>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amp;"/>
      <w:numFmt w:val="bullet"/>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2022-08-02T15:14:30Z</dcterms:created>
  <dcterms:modified xsi:type="dcterms:W3CDTF">2022-08-02T15:14:30Z</dcterms:modified>
</cp:coreProperties>
</file>